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E-4949/2011 vom 22. November 2011</w:t>
      </w:r>
    </w:p>
    <w:p>
      <w:r>
        <w:t>Bundesverwaltungsgericht, 2011-11-22, DE</w:t>
      </w:r>
    </w:p>
    <w:p>
      <w:r>
        <w:rPr>
          <w:b/>
        </w:rPr>
        <w:t xml:space="preserve">Quelle: </w:t>
      </w:r>
      <w:r>
        <w:t>https://mcp.opencaselaw.ch/entscheid/bvger_E-4949_2011</w:t>
      </w:r>
    </w:p>
    <w:p>
      <w:r>
        <w:t>FR: TAF E-4949/2011 du 22 novembre 2011</w:t>
      </w:r>
    </w:p>
    <w:p>
      <w:r>
        <w:t>IT: TAF E-4949/2011 del 22 novembre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wird.</w:t>
      </w:r>
    </w:p>
    <w:p>
      <w:r>
        <w:rPr>
          <w:b/>
        </w:rPr>
        <w:t>E. 2</w:t>
      </w:r>
    </w:p>
    <w:p>
      <w:r>
        <w:t>Die vorinstanzliche Verfügung vom 31. August 2011 wird aufgehoben. Die Akten werden zur Weiterführung des Asylverfahrens an die Vorinstanz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hat dem Beschwerdeführer für das Verfahren vor dem Bundesverwaltungsgericht eine Parteientschädigung von Fr. 1'550.- zu leisten.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Einzelrichter: Die Gerichtsschreiberin: Markus König Karin Maeder-Steiner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