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E-4942/2016 vom 3. Juli 2018</w:t>
      </w:r>
    </w:p>
    <w:p>
      <w:r>
        <w:t>Bundesverwaltungsgericht, 2018-07-03, FR</w:t>
      </w:r>
    </w:p>
    <w:p>
      <w:r>
        <w:rPr>
          <w:b/>
        </w:rPr>
        <w:t xml:space="preserve">Quelle: </w:t>
      </w:r>
      <w:r>
        <w:t>https://mcp.opencaselaw.ch/entscheid/bvger_E-4942_2016</w:t>
      </w:r>
    </w:p>
    <w:p>
      <w:r>
        <w:t>FR: TAF E-4942/2016 du 3 juillet 2018</w:t>
      </w:r>
    </w:p>
    <w:p>
      <w:r>
        <w:t>IT: TAF E-4942/2016 del 3 luglio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1.4</w:t>
      </w:r>
    </w:p>
    <w:p>
      <w:r>
        <w:t>Il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ATAF 2009/57 consid. 1.2). Il peut ainsi admettre un recours pour un autre motif que ceux invoqués devant lui ou rejeter un recours en adoptant une argumentation différente de celle de l'autorité intimée (cf. ATAF 2009/61 consid. 6.1, ATAF 2007/41 consid. 2 ; voir aussi Moser/Beusch/Kneubühler, Prozessieren vor dem Bundesverwaltungsgericht, 2ème éd. 2013, p. 226 s. n° 3.197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à 5.6). Une persécution individuelle et ciblée pour un motif déterminant en matière d'asile est reconnue, lorsqu'une personne invoque de sérieux préjudices dirigés contre elle en tant que personne en raison de sa race, de sa religion, de sa nationalité ou d'un autre motif déterminant en droit d'asile (cf. arrêt du Tribunal E-6107/2008 du 8 janvier 2013 consid. 4.2, publié sous ATAF 2013/1 ; ATAF 2011/51 consid. 7.1 et réf. cit. ; 2008/12 consid. 7 et réf. cit.).</w:t>
      </w:r>
    </w:p>
    <w:p>
      <w:r>
        <w:rPr>
          <w:b/>
        </w:rPr>
        <w:t>E. 2.2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l'asile a été refusé à l'intéressé, le SEM estimant que l'attaque ciblée des talibans à son encontre, le (...), était invraisemblable. Il a considéré que le recourant ne risquait pas d'être victime de sérieux préjudices en cas de retour en raison de ses activités d'interprète, qui remontaient à plus de six ans, et qu'il pouvait trouver refuge ailleurs en Afghanistan, notamment à Kaboul. Le recourant conteste entièrement cette appréciation ; il maintient avoir été personnellement attaqué en raison de ses activités d'interprète dévoilées par son cousin aux talibans et risquer des persécutions futures en cas de retour pour la même raison, sans possibilité de refuge interne.</w:t>
      </w:r>
    </w:p>
    <w:p>
      <w:r>
        <w:rPr>
          <w:b/>
        </w:rPr>
        <w:t>E. 3.2</w:t>
      </w:r>
    </w:p>
    <w:p>
      <w:r>
        <w:t>A titre liminaire, il convient de constater que les moyens de preuve produits, en tant qu'ils concernent l'activité d'interprète du recourant ainsi que son emploi comme agent de sécurité auprès de l'hôtel E._______ à Kaboul, portent sur des éléments non contestés et ne sont donc pas déterminants dans l'appréciation de la vraisemblance des incidents allégués.</w:t>
      </w:r>
    </w:p>
    <w:p>
      <w:r>
        <w:rPr>
          <w:b/>
        </w:rPr>
        <w:t>E. 3.3</w:t>
      </w:r>
    </w:p>
    <w:p>
      <w:r>
        <w:t>Le Tribunal considère d'abord que le recourant s'est contredit au sujet des menaces téléphoniques des talibans, puisqu'il a déclaré qu'elles avaient cessé tantôt en 2012, tantôt en août 2013 (cf. pv de son audition sur les données personnelles, ch. 7.01 ; pv de son audition sur les motifs, Q108s.). En outre, l'allégué selon lequel il aurait reçu une lettre de menace invoqué uniquement au stade de la troisième audition est tardif et ne repose sur aucun moyen de preuve tangible, de sorte qu'il est infondé. Ensuite, le Tribunal estime, à l'instar du SEM, que l'attaque du (...), en ce sens qu'elle aurait ciblé personnellement le recourant en raison de ses activités passées d'interprète, est invraisemblable. En effet, il n'est pas plausible que les talibans, s'ils cherchaient réellement à éliminer le recourant, aient attendu six ans avant de passer à l'acte, alors qu'ils auraient déjà été au courant de ses activités d'interprète en 2007, époque à laquelle ils auraient commencé à le menacer. Il est tout aussi illogique qu'ils aient attendu que le recourant cesse ses activités (fin 2009) pour lancer l'assaut, (...) plus tard ([...]). A cela s'ajoute que le recourant a continué à séjourner au domicile familial à Herat entre le printemps (...) et juin 2015, sans prendre de précaution particulière alors qu'il se serait senti menacé et sans rencontrer (lui-même ou des membres de sa famille) de problème particulier, ce qui confirme qu'il n'était pas, lui personnellement, visé et menacé. Le document produit, daté du (...), est un procès-verbal de la dénonciation des faits tels qu'exposés par le recourant au poste de police, de sorte qu'il est dépourvu de valeur probante, de même que l'adjonction du directeur du département des (...), qui se contente d'attester l'endroit et l'heure de l'attaque (et non l'identité des victimes). Au demeurant, sans que ces éléments soient en tant que tels déterminants, le Tribunal relève encore que le recourant s'est contredit sur les occupants du véhicule lors de l'attaque (son frère et sa soeur, ou alors son frère, ses deux soeurs, son beau-frère et ses deux neveux ou nièces), ainsi que du nombre de personnes blessées (seulement son frère et sa soeur, ou alors son autre soeur également). Par ailleurs, les photographies montrant le véhicule du recourant criblé de balles ne suffisent pas, à elles seules, à renverser les invraisemblances relevées ci-dessus et à établir la réalité de l'attaque du (...). En outre, son récit de l'opération chirurgicale de sa soeur, destinée à extraire la balle, se révèle également confus ; si celle-ci a été opérée durant la nuit de l'attaque et qu'elle a consulté dans les mois qui suivirent en raison de douleurs, la radiographie produite ne serait pas datée du (...), soit plus d'un an et demi après l'incident. De plus, ce moyen de preuve, tout comme la photographie de deux femmes étendues sur des lits d'hôpital, n'établissent pas les circonstances relatives à la blessure subie par la soeur du recourant.</w:t>
      </w:r>
    </w:p>
    <w:p>
      <w:r>
        <w:rPr>
          <w:b/>
        </w:rPr>
        <w:t>E. 3.3.1</w:t>
      </w:r>
    </w:p>
    <w:p>
      <w:r>
        <w:t>Vu ce qui précède, le recourant n'a pas rendu vraisemblable avoir été personnellement menacé et attaqué par les talibans, le (...), dans les circonstances décrites.</w:t>
      </w:r>
    </w:p>
    <w:p>
      <w:r>
        <w:rPr>
          <w:b/>
        </w:rPr>
        <w:t>E. 3.4</w:t>
      </w:r>
    </w:p>
    <w:p>
      <w:r>
        <w:t>Par surabondance, le Tribunal estime que les persécutions alléguées, même si elles étaient jugées vraisemblables, ne seraient quoi qu'il en soit pas pertinentes au regard de l'art. 3 LAsi. En effet, les menaces invoquées, qui auraient eu lieu entre 2007 et 2012/2013, ainsi que l'attaque du (...) ne sont pas en lien de causalité temporelle avec le départ du recourant d'Afghanistan en juin 2015 (cf. ATAF 2011/50 consid. 3.1.2.1 et réf. cit. et ATAF 2010/57 consid. 2.4 et 3.2).</w:t>
      </w:r>
    </w:p>
    <w:p>
      <w:r>
        <w:rPr>
          <w:b/>
        </w:rPr>
        <w:t>E. 4.1</w:t>
      </w:r>
    </w:p>
    <w:p>
      <w:r>
        <w:t>Il convient enfin d'examiner si le recourant peut se prévaloir d'un risque de persécution future de la part des talibans en cas de retour en Afghanistan. En effet, il a fait valoir que ceux-là avaient été informés par son cousin de ses activités d'interprète. Afin d'établir l'existence d'un danger réel et ciblé, il s'est référé à l'arrestation et à l'assassinat de deux interprètes par les talibans alors qu'il exerçait lui-même ce métier.</w:t>
      </w:r>
    </w:p>
    <w:p>
      <w:r>
        <w:rPr>
          <w:b/>
        </w:rPr>
        <w:t>E. 4.2</w:t>
      </w:r>
    </w:p>
    <w:p>
      <w:r>
        <w:t>D'abord, il convient de rappeler que, dans sa jurisprudence, le Tribunal a reconnu l'existence de catégories de personnes exposées à des risques de persécution particuliers (cf. notamment arrêts du Tribunal administratif fédéral D-3846/2017 du 19 mars 2018, consid. 3.3 ; E-4258/2016 du 20 décembre 2017, consid. 5.3.2). Il s'agit de personnes considérées, à tort ou à raison, comme proches du gouvernement afghan ou de la coalition internationale, ainsi que de personnes qui sont imprégnées par des valeurs occidentales et qui ne se fondent plus dans la société afghane. Font partie de ces catégories à risques, en particulier, les collaborateurs afghans ou étrangers d'organisations internationales gouvernementales et non gouvernementales. Des personnes possédant un tel profil ont été victimes d'intimidations, d'enlèvements, voire d'assassinats. Les membres de leur famille sont également susceptibles d'être victimes d'actes de violence (cf. EASO, Country of Origin Information Report « Afghanistan Individuals targeted by armed actors in the conflict, décembre 2017, pt. 1.2, p. 28 ss ; UNHCR Eligibility Guidenlines for assessing the internationale protection needs of asylum-seekers from Afghanistan, 10 avril 2016, p. 34 ss). En outre, il est admis que des traducteurs en fonction auprès des troupes internationales ont été tués (cf. Deutsche Welle Online, Dolmetscher zwischen den Fronten, 6 août 2014; Tagesschau Deutschland, Afghanisches Tagebuch, die Todesangst der Dolmetscher, 31. Januar 2014; Spiegel Online, Übersetzer der Bundeswehr in Afghanistan getötet, 24 novembre 2013). En ce qui concerne ces groupes à risques, il n'existe actuellement aucun élément permettant d'entrevoir une amélioration des conditions sécuritaires à plus ou moins long terme. Le Tribunal a, du reste, constaté une péjoration de la situation en Afghanistan dans son arrêt de référence D-5800/2016 du 13 octobre 2017.</w:t>
      </w:r>
    </w:p>
    <w:p>
      <w:r>
        <w:rPr>
          <w:b/>
        </w:rPr>
        <w:t>E. 4.3</w:t>
      </w:r>
    </w:p>
    <w:p>
      <w:r>
        <w:t>Certes, pour l'intéressé, le fait d'avoir été interprète auprès des troupes (...) et (...) lui permet subjectivement de se considérer comme une personne présentant un profil à risque. Toutefois, ce qui est décisif, ce n'est pas le point de vue subjectif de la crainte de persécution, mais l'élément objectif, autrement dit l'existence d'indices concrets qui peuvent laisser présager l'avènement, dans un avenir peu éloigné et selon une haute probabilité, de persécutions déterminantes selon l'art. 3 LAsi. Or, force est de constater qu'il n'y a pas d'élément permettant d'étayer cette hypothèse dans le cas particulier. En effet, comme mentionné dans les considérants qui précèdent, le recourant n'a pas rendu vraisemblable avoir fait l'objet de menace ou de persécution de la part des Talibans depuis le début de ses activités avec les troupes étrangères. Il ne ressort pas non plus du dossier qu'il aurait été personnellement identifié par le Talibans en tant qu'interprète. A cela s'ajoute que le risque n'est pas actuel, puisque le recourant a cessé toute activité d'interprétariat en Afghanistan depuis fin 2009, soit depuis huit ans et demi ; il est donc improbable que les talibans, à supposer qu'ils l'aient identifié, s'intéressent encore à lui à ce jour.</w:t>
      </w:r>
    </w:p>
    <w:p>
      <w:r>
        <w:rPr>
          <w:b/>
        </w:rPr>
        <w:t>E. 4.4</w:t>
      </w:r>
    </w:p>
    <w:p>
      <w:r>
        <w:t>Partant, il n'est pas établi que le recourant serait personnellement visé et ferait l'objet de sérieux préjudices de la part des talibans en cas de retour, étant rappelé qu'il a pu vivre plusieurs années à Herat avant son départ sans être inquiété. Par conséquent, l'intéressé ne peut se prévaloir d'une crainte fondée de persécutions futures déterminantes selon l'art. 3 LAsi en cas de retour dans son pays d'origine.</w:t>
      </w:r>
    </w:p>
    <w:p>
      <w:r>
        <w:rPr>
          <w:b/>
        </w:rPr>
        <w:t>E. 5</w:t>
      </w:r>
    </w:p>
    <w:p>
      <w:r>
        <w:t>Il s'ensuit que le recours, en tant qu'il conteste le refus d'octroi de l'asile et de reconnaissance de la qualité de réfugié,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Conformément aux art. 44 et 45 al. 1 let. e LAsi en relation avec l'art. 83 al. 1 LEtr (a contrario), l'exécution du renvoi est ordonnée si elle est licite, raisonnablement exigible et possible. Si ces conditions ne sont pas (toutes) réunies, l'admission provisoire doit être prononcée. Celle-ci est réglée par l'art. 83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établi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8.4</w:t>
      </w:r>
    </w:p>
    <w:p>
      <w:r>
        <w:t>En l'occurrence, le recourant n'a pas établi l'existence d'un véritable risque concret et sérieux d'être victime de traitements prohibés par les art. 3 CEDH ou 3 Conv. torture en cas de renvoi dans son pays.</w:t>
      </w:r>
    </w:p>
    <w:p>
      <w:r>
        <w:rPr>
          <w:b/>
        </w:rPr>
        <w:t>E. 8.5</w:t>
      </w:r>
    </w:p>
    <w:p>
      <w:r>
        <w:t>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ATAF 2011/50 consid. 8.1 - 8.3).</w:t>
      </w:r>
    </w:p>
    <w:p>
      <w:r>
        <w:rPr>
          <w:b/>
        </w:rPr>
        <w:t>E. 9.2</w:t>
      </w:r>
    </w:p>
    <w:p>
      <w:r>
        <w:t>Dans son arrêt de référence D-5800/2016 du 13 octobre 2017, le Tribunal a procédé à une nouvelle analyse détaillée de la situation sécuritaire en Afghanistan. Il a retenu que la situation s'était dégradée de façon générale dans tout le pays depuis la dernière analyse approfondie dont il avait présenté les résultats dans les ATAF 2011/7, 2011/38 et 2011/49. Il est arrivé à la conclusion qu'en raison de la détérioration de la situation sécuritaire, l'exécution d'un renvoi vers Kaboul n'est raisonnablement exigible qu'en présence de conditions particulièrement favorables (cf. arrêt de référence D-5800/2016 précité, consid. 8.4), question laissée ouverte concernant l'exécution de cette mesure vers Herat. De telles conditions sont ainsi réalisées si l'intéressé est une personne jeune et en bonne santé qui dispose à Kaboul d'un réseau social viable lui permettant de se réintégrer. Ce cercle social doit, en particulier, pouvoir lui fournir un logement adéquat et une assistance pour se réintégrer socialement et financièrement. L'intéressé doit donc avoir la possibilité de disposer du minimum vital et d'un logement sûr (cf. arrêt susmentionné, consid. 8.4.1 et 8.4.2).</w:t>
      </w:r>
    </w:p>
    <w:p>
      <w:r>
        <w:rPr>
          <w:b/>
        </w:rPr>
        <w:t>E. 9.3</w:t>
      </w:r>
    </w:p>
    <w:p>
      <w:r>
        <w:t>En l'espèce, le SEM a considéré, dans sa duplique du 14 novembre 2017, que l'exécution du renvoi du recourant vers Kaboul était inexigible, compte tenu de la nouvelle jurisprudence du Tribunal rappelée ci-avant (cf. let. H ci-dessus). Il n'y a pas lieu de revenir sur ce point.</w:t>
      </w:r>
    </w:p>
    <w:p>
      <w:r>
        <w:rPr>
          <w:b/>
        </w:rPr>
        <w:t>E. 9.4</w:t>
      </w:r>
    </w:p>
    <w:p>
      <w:r>
        <w:t>En ce qui concerne l'exécution du renvoi de A._______ vers Herat, le Tribunal relève ce qui suit. Le recourant est jeune, au bénéfice d'un bon niveau d'étude (il a achevé ses douze années de scolarité et a accompli deux ans d'études universitaires en pharmacie) ainsi que d'une expérience professionnelle comme interprète et agent de sécurité, et est en bonne santé. Il a vécu de 2013 à mi-2015 à Herat, où il dispose d'un large et solide réseau familial, composé de ses parents, deux frères et deux soeurs, avec qui il est resté en contact. Il faut également relever la présence, à Herat, de deux oncles et de deux tantes du recourant. Sa famille nucléaire est installée à Herat depuis 2011, où elle est, depuis le temps, fort probablement bien intégrée socialement. Les parents possèdent une maison de deux étages avec un parking à Herat et détiennent aussi une voiture. Ils sont encore propriétaires d'une seconde maison, dans le district de G._______ (situé dans la province de Herat), ainsi que d'un verger de deux hectares et demi. Ainsi, le recourant provient d'une famille afghane plutôt aisée, ce que confirme d'ailleurs le fait que ses parents ont pu lui faire parvenir, en Suisse, environ 1'500 euros en l'espace de sept mois. Ses parents pourront donc lui venir en aide s'il souhaite par exemple reprendre ses études en pharmacie. Au surplus, il n'est pas exclu qu'il puisse, si nécessaire, être soutenu financièrement par ses frère et soeur installés au Etats-Unis. Compte tenu de ce qui précède, il peut être parti du principe que sa famille sera en mesure de l'assister à son retour au pays, en lui fournissant un logement et des moyens de subsistance.</w:t>
      </w:r>
    </w:p>
    <w:p>
      <w:r>
        <w:rPr>
          <w:b/>
        </w:rPr>
        <w:t>E. 9.5</w:t>
      </w:r>
    </w:p>
    <w:p>
      <w:r>
        <w:t>Par conséquent, il faut considérer qu'existent, en l'occurrence, des facteurs particulièrement favorables qui, même à supposer que la situation sécuritaire à Herat se soit péjorée dans une mesure déterminante depuis l'ATAF 2011/38, de manière analogue à celle qui règne à Kaboul, rendent l'exécution du renvoi du recourant à Herat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12.1</w:t>
      </w:r>
    </w:p>
    <w:p>
      <w:r>
        <w:t>Dans la mesure où le recourant bénéficie de l'assistance judiciaire totale, octroyée par décision incidente du 25 août 2016, il n'est pas perçu de fais de procédure (cf. art. 65 al. 1 PA).</w:t>
      </w:r>
    </w:p>
    <w:p>
      <w:r>
        <w:rPr>
          <w:b/>
        </w:rPr>
        <w:t>E. 12.2</w:t>
      </w:r>
    </w:p>
    <w:p>
      <w:r>
        <w:t>En l'absence de décompte de prestations, le Tribunal fixe le montant des honoraires sur la base du dossier (cf. art. 14 al. 2 du règlement du 11 décembre 2006 concernant les frais, dépens et indemnités fixés par le Tribunal administratif fédéral [FITAF, RS 173.320.2]), compte tenu d'un tarif horaire de 150 francs (cf. décision incidente du 25 août 2016, p. 3), à 1'800 francs, à charge du Tribunal (cf. art. 8 à 11 FITAF, applicables par renvoi de son art. 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