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E-4942/2014 vom 12. September 2014</w:t>
      </w:r>
    </w:p>
    <w:p>
      <w:r>
        <w:t>Bundesverwaltungsgericht, 2014-09-12, DE</w:t>
      </w:r>
    </w:p>
    <w:p>
      <w:r>
        <w:rPr>
          <w:b/>
        </w:rPr>
        <w:t xml:space="preserve">Quelle: </w:t>
      </w:r>
      <w:r>
        <w:t>https://mcp.opencaselaw.ch/entscheid/bvger_E-4942_2014</w:t>
      </w:r>
    </w:p>
    <w:p>
      <w:r>
        <w:t>FR: TAF E-4942/2014 du 12 septembre 2014</w:t>
      </w:r>
    </w:p>
    <w:p>
      <w:r>
        <w:t>IT: TAF E-4942/2014 del 12 settembre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Gewährung der aufschiebenden Wirkung wird mit dem vorliegenden Entscheid in der Sache obsolet, ebenso jenes um Verzicht auf die Erhebung eines Kostenvorschusses.</w:t>
      </w:r>
    </w:p>
    <w:p>
      <w:r>
        <w:rPr>
          <w:b/>
        </w:rPr>
        <w:t>E. 5.1</w:t>
      </w:r>
    </w:p>
    <w:p>
      <w:r>
        <w:t>Auf Asylgesuche wird in der Regel nicht eingetreten wird, wenn Asylsuchende in einen Drittstaat ausreisen können, der für die Durchführung des Asyl- und Wegweisungsverfahrens staatsvertraglich zuständig ist (Art. 31a Abs. 1 Bst. b AsylG),</w:t>
      </w:r>
    </w:p>
    <w:p>
      <w:r>
        <w:rPr>
          <w:b/>
        </w:rPr>
        <w:t>E. 5.2</w:t>
      </w:r>
    </w:p>
    <w:p>
      <w:r>
        <w:t>Die diesbezügliche staatsvertragliche Zuständigkeit zur Durchführung des Asyl- und Wegweisungsverfahrens ergibt sich aus der Dublin-III-VO. Gemäss Art. 3 Abs. 1 Satz 2 Dublin-III-VO wird jeder Asylantrag von einem einzigen Mitgliedstaat geprüft, der nach den Kriterien des Kapitels III als zuständiger Staat bestimmt wird, wobei die einzelnen Bestimmungskriterien in der Reihenfolge ihrer Auflistung im Kapitel III Anwendung finden sind (Art. 7 Abs. 1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Der nach dieser Verordnung zuständige Mitgliedstaat ist verpflichtet, einen Antragsteller, der in einem anderen Mitgliedstaat einen Antrag gestellt hat, nach Massgabe der Art. 21, 22 und 29 Dublin-III-VO aufzunehmen (Art. 18 Abs. 1 Bst. a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5.3.1</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Als Familienangehöriger gilt unter anderem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(Art. 2 Bst. g Dublin-III-VO). Die Zuständigkeitsregeln bezüglich Familienangehören sind gegenüber anderen Bestimmungen vorrangig zu berücksichtigen (vgl. Art. 7 Abs. 3 Dublin-III-VO).</w:t>
      </w:r>
    </w:p>
    <w:p>
      <w:r>
        <w:rPr>
          <w:b/>
        </w:rPr>
        <w:t>E. 5.3.2</w:t>
      </w:r>
    </w:p>
    <w:p>
      <w:r>
        <w:t>Besitzt der Antragsteller einen gültigen Aufenthaltstitel, so ist der Mitgliedstaat, der den Aufenthaltstitel ausgestellt hat, für die Prüfung des Antrags auf internationalen Schutz zuständig (Art. 12 Abs. 1 Dublin-III-VO). Ist ein Antragsteller im Besitz eines gültigen Visums, ist zur Prüfung des Asylgesuchs derjenige Mitgliedstaat zuständig, der das Visum erteilt hat (Art. 12 Abs. 2 Dublin-III-VO).</w:t>
      </w:r>
    </w:p>
    <w:p>
      <w:r>
        <w:rPr>
          <w:b/>
        </w:rPr>
        <w:t>E. 6</w:t>
      </w:r>
    </w:p>
    <w:p>
      <w:r>
        <w:t>Weil die Verletzung des Anspruchs auf rechtliches Gehör unter Umständen zur Aufhebung der Verfügung und Rückweisung der Angelegenheit an die Vorinstanz führen kann, ist der entsprechende Einwand der Beschwerdeführerin, das BFM habe es unterlassen, auf den von ihr geltend gemachten schlechten Gesundheitszustand sowie die schwierige Situation von Asylsuchenden und anerkannten Flüchtlingen in Italien einzugehen, vorab zu prüfen. Eine Durchsicht der Akten ergibt, dass die Beschwerdeführerin im Rahmen der Gewährung des rechtlichen Gehörs anlässlich der BzP angegeben hatte, sie sei gesund (vgl. A3/13 S. 9, 8.02). Zwar ergibt sich weiter aus den Akten, dass die Beschwerdeführerin sich am 25. Juni 2014 über eine persistierende Obstipation beklagt hatte, am selben Tag ein Arztbesuch im EVZ Basel stattfand und der Arzt ihr Medikamente verschrieben hat (vgl. A16/1). Aus diesen Umständen hatte das BFM offensichtlich nicht zu schliessen, es lägen bei der Beschwerdeführerin gesundheitliche Beeinträchtigungen vor, die im Zusammenhang mit einer Überstellung in den zur Prüfung des Asylgesuches zuständigen Staat Italien überhaupt eine Rolle spielen könnten, weshalb nicht zu beanstanden ist, dass die Beschwerden vom 25. Juni 2014 in der angefochtenen Verfügung weder im Sachverhalt noch in den Erwägungen erscheinen, und die formelle Rüge ins Leere stösst.</w:t>
      </w:r>
    </w:p>
    <w:p>
      <w:r>
        <w:rPr>
          <w:b/>
        </w:rPr>
        <w:t>E. 7.1</w:t>
      </w:r>
    </w:p>
    <w:p>
      <w:r>
        <w:t>Die italienischen Behörden stimmten dem Gesuch des BFM um Übernahme der Beschwerdeführerin gestützt auf Art. 12 Abs. 1 Dublin-III-VO am 14. Juli 2014 zu. Die Beschwerdeführerin bestreitet nicht, mit einem von den italienischen Behörden in C._______ ausgestelltem Visum nach Italien eingereist zu sein. Sie macht jedoch unter anderem geltend, weil sich ihr Ehemann als anerkannter Flüchtling in der Schweiz aufhalte, sei diese für die Prüfung ihres Asylgesuches zuständig.</w:t>
      </w:r>
    </w:p>
    <w:p>
      <w:r>
        <w:rPr>
          <w:b/>
        </w:rPr>
        <w:t>E. 7.2</w:t>
      </w:r>
    </w:p>
    <w:p>
      <w:r>
        <w:t>Das BFM begründet in seiner Verfügung ausführlich, weshalb es die zwischen der Beschwerdeführerin und ihrem religiös angetrauten Gatten nicht als dauerhaft im Sinne der massgeblichen Bestimmungen betrachte. So sei bisher kein gemeinsamer Haushalt geführt worden und das Paar habe - bis auf den Besuch des Partners der Beschwerdeführerin in B._______ - weder zusammen gelebt noch eine partnerschaftliche Beziehung geführt. Zudem sei die Beschwerdeführerin weder in der Lage gewesen, das genaue Geburtsdatum ihres Partners anzugeben, noch habe sie gewusst, ob er Geschwister habe. Auch wann sie sich genau kennengelernt hätten, habe sie nicht angegeben können, wogegen der Partner bei seiner Befragung zur Person im Jahr 2008 zu Protokoll gegeben habe, dass er seit (...) geschieden sei, eine Partnerschaft mit der Beschwerdeführerin aber mit keinem Wort erwähnt habe.</w:t>
      </w:r>
    </w:p>
    <w:p>
      <w:r>
        <w:rPr>
          <w:b/>
        </w:rPr>
        <w:t>E. 7.3</w:t>
      </w:r>
    </w:p>
    <w:p>
      <w:r>
        <w:t>Das Bundesverwaltungsgericht teilt die Auffassung des BFM und auf dessen Erwägungen kann umfassend verwiesen werden. Die Beschwerdeführerin macht in der Rechtsmitteleingabe selbst geltend, eine offizielle Ehe liege nicht vor. Wenn sie nun der Einschätzung des BFM, es liege keine dauerhafte Beziehung vor, pauschal entgegenhält, sie habe bereits in Eritrea eine Liebesbeziehung zu ihrem heutigen nach Brauch angetrauten Gatten geführt (nachdem sie im Rahmen des erstinstanzlichen Verfahrens einzig angegeben hatte, sie habe ihn, so glaube sie, 2003 oder 2004 in Asmara kennengelernt, vgl. A3/13 S. 4, 1.14 ), er habe dann allerdings eine andere Frau geheiratet und sich 2006 von dieser scheiden lassen sowie sie hätten sich dann wiedergefunden und per Telefon und E-Mail Kontakt gepflegt, vermag dies offensichtlich nichts an der zutreffenden Einschätzung des BFM zu ändern. Zu Recht verweist das BFM darauf, dass Hinweise auf eine dauerhafte Beziehung entsprechend der bundesgerichtlichen Rechtsprechung zu Art. 8 EMRK unter anderem in einem Zusammenleben in einem gemeinsamen Haushalt zu sehen sind. Geschützt ist nicht einmal in erster Linie ein rechtlich begründetes, sondern ein tatsächlich gelebtes Familienleben (vgl. u.a. BGE 135 I 143 E. 3.1). Schliesslich vermag auch die Einleitung eines Eheverfahrens für sich alleine noch nicht auf eine solche dauerhafte Beziehung hinzuweisen. Zu Recht verweist schliesslich das BFM darauf, dass die Bestimmungen des Flüchtlings- und Asylrechts nicht dazu dienen können, jene zum Familiennachzug zu umgehen, sondern gegebenenfalls die dort dafür vorgesehenen rechtlichen Mittel zu ergreifen sind; ein Aufenthalt der Beschwerdeführerin in Italien steht der Ausschöpfung der entsprechenden Mittel nicht entgegen.</w:t>
      </w:r>
    </w:p>
    <w:p>
      <w:r>
        <w:rPr>
          <w:b/>
        </w:rPr>
        <w:t>E. 7.4</w:t>
      </w:r>
    </w:p>
    <w:p>
      <w:r>
        <w:t>Das BFM hat Italien damit unter diesem Aspekt zu Recht als zuständig zur Durchführung des Asylverfahrens erklärt.</w:t>
      </w:r>
    </w:p>
    <w:p>
      <w:r>
        <w:rPr>
          <w:b/>
        </w:rPr>
        <w:t>E. 8</w:t>
      </w:r>
    </w:p>
    <w:p>
      <w:r>
        <w:t>Im Rahmen des erstinstanzlichen Verfahrens brachte die Beschwerdeführerin im Zusammenhang mit einer Überstellung nach Italien, nebst dem soeben abgehandelten Vorbringen in Bezug auf ihr Zusammenleben mit ihrem nach Gebrauch angetrauten Gatten - einzig vor, sie wolle nicht zurück zu ihrer dortigen Arbeitgeberin, da diese sie schlecht behandelt habe. Erst auf Beschwerdestufe verweist sie nun darauf, die Bedingungen in Italien für Asylsuchende und Flüchtlinge stünden ihrer Überstellung entgegen und macht damit sinngemäss systemische Mängel im Sinne von Art. 3 Abs. 2 Dublin-III-VO geltend. Diesbezüglich ist festzuhalten, dass das Bundesverwaltungsgericht davon ausgeht, es gebe keine Gründe für die Annahme, das Asylverfahren und die Aufnahmebedingungen für Antragsteller in Italien weise solche systemischen Schwachstellen auf, die eine Gefahr einer unmenschlichen oder entwürdigenden Behandlung im Sinne des Artikels 4 der EU-Grundrechtecharta mit sich bringen würden. Italien ist unter anderem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Es kann ausserdem in Fortführung der Rechtsprechung des Bundesverwaltungsgerichts nicht davon ausgegangen werden, Italien würde in genereller Weise seinen völkerrechtlichen Verpflichtungen nicht nachkommen respektive in völkerrechtswidriger Weise gegen die Aufnahmerichtlinie verstossen. Diese Ansicht wurde durch den EGMR in der Entscheidung Mohammed Hussein und andere vs. Niederlande und Italien ([Beschwerde Nr. 27725/10] vom 2. April 2013, Unzulässigkeitsentscheidung wegen offensichtlicher Unbegründetheit gemäss Art. 35 Abs. 3 EMRK) bestätigt. Darin führte der Gerichtshof aus, dass kein systematischer Mangel an Unterstützung und Einrichtungen für Asylsuchende (als besonders verletzliche Personengruppe) bestehe, wenn auch die allgemeine Situation und insbesondere die Lebensumstände von Asylsuchenden, anerkannten Flüchtlingen und Personen mit einem subsidiären Schutzstatus in Italien gewisse Mängel aufweisen würden (vgl. auch Urteil des Bundesverwaltungsgerichts E-3508/2013 vom 27. Juni 2013). Diese Rechtsprechung hat nach wie vor Gültigkeit (vgl. etwa die Urteile D-1694/2014 vom 4. April 2014, E-1476/2014 vom 17. März 2014, E-1372/2014 vom 21. März 2014, D-538/2014 vom 14. Februar 2014, E-6838/2013 vom 27. Dezember 2013 oder D-5957/2013 vom 3. Dezember 2013). Es ist somit davon auszugehen, dass die Beschwerdeführerin in Italien Zugang zu einem fairen Asylverfahren haben wird und sie damit nicht unmenschlicher Behandlung ausgesetzt oder durch die italienischen Behörden ohne Prüfung ihrer Asylgründe unter Missachtung des Non-Refoulement-Gebotes oder von Art. 3 EMRK in den Heimat- oder Herkunftsstaat zurückgeschafft würde. Die Beschwerdeführerin bringt keine konkreten Anhaltspunkte vor, inwiefern diese Einschätzung in ihrem Fall nicht zutreffen könnte. Auch unter dem Aspekt von Art. 3 Abs. 2 Satz 2 Dublin-III-VO ist Italien demzufolge als zuständiger Staat zu betrachten.</w:t>
      </w:r>
    </w:p>
    <w:p>
      <w:r>
        <w:rPr>
          <w:b/>
        </w:rPr>
        <w:t>E. 9</w:t>
      </w:r>
    </w:p>
    <w:p>
      <w:r>
        <w:t>Schliesslich sind keine Gründe für einen Selbsteintritt der Schweiz ersichtlich. Zwar bringt die Beschwerdeführerin inzwischen vor, sie sei schwer krank, leide - besonders während der Menstruation - an starken Unterleibsschmerzen und ihr nach Brauch angetrauter Gatte habe bereits einmal beinahe die Ambulanz rufen müssen, sie werde bald untersucht werden; sie sei aufgrund dieser Beschwerden auf die Unterstützung ihres Partners angewiesen. Ganz abgesehen davon, dass sie ihre nicht näher substantiierten Vorbringen nicht belegt, ist ohne weiteres davon auszugehen, dass die so beschriebenen Beschwerden in Italien behandelbar sind und die Beschwerdeführerin auch Zugang zu einer allenfalls notwendigen Behandlung hat. Auch vermögen die so dargelegten Beschwerden offensichtlich keine Abhängigkeit von ihrem Ehegatten zu begründen. Die Beschwerdeführerin kann folglich auch kein konkretes und ernsthaftes Risiko nachweisen, welches ihre Überstellung nach Italien als unzulässig erscheinen lassen würde. In diesem Zusammenhang ist festzuhalten, dass die Dublin-III-VO den Schutzsuchenden kein Recht einräumt, den ihren Antrag prüfenden Staat selber auszuwählen (vgl. BVGE 2010/45 E. 8.3).</w:t>
      </w:r>
    </w:p>
    <w:p>
      <w:r>
        <w:rPr>
          <w:b/>
        </w:rPr>
        <w:t>E. 10</w:t>
      </w:r>
    </w:p>
    <w:p>
      <w:r>
        <w:t>Das BFM ist nach dem Gesagten zu Recht in Anwendung von Art. 31a Abs. 1 Bst. b AsylG auf das Asylgesuch der Beschwerdeführerin nicht eingetreten. Weil die Beschwerdeführerin nicht im Besitz einer gültigen Aufenthalts- oder Niederlassungsbewilligung ist, wurde auch die Wegweisung nach Italien zu Recht angeordnet (Art. 44 AsylG, Art. 32 Bst. a der Asylverordnung 1 über Verfahrensfragen, SR 142.311).</w:t>
      </w:r>
    </w:p>
    <w:p>
      <w:r>
        <w:rPr>
          <w:b/>
        </w:rPr>
        <w:t>E. 11</w:t>
      </w:r>
    </w:p>
    <w:p>
      <w:r>
        <w:t>Da das Fehlen von Überstellungshindernissen bereits Voraussetzung des Nichteintretensentscheides gemäss Art. 31a Abs. 1 Bst. b AsylG ist (vgl. BVGE 2010/45 E. 10), sind allfällige Vollzugshindernisse gemäss Art. 83 Abs. 3 und 4 AuG (SR 142.20) - anders als das BFM dies tut - nicht mehr zu prüfen.</w:t>
      </w:r>
    </w:p>
    <w:p>
      <w:r>
        <w:rPr>
          <w:b/>
        </w:rPr>
        <w:t>E. 12</w:t>
      </w:r>
    </w:p>
    <w:p>
      <w:r>
        <w:t>Der Beschwerdeführerin ist es demnach nicht gelungen darzutun, inwiefern die angefochtene Verfügung Bundesrecht verletzt oder den rechtserheblichen Sachverhalt unrichtig oder unvollständig feststellt (Art. 106 Abs. 1 AsylG). Die Beschwerde ist demzufolge abzuweisen.</w:t>
      </w:r>
    </w:p>
    <w:p>
      <w:r>
        <w:rPr>
          <w:b/>
        </w:rPr>
        <w:t>E. 13</w:t>
      </w:r>
    </w:p>
    <w:p>
      <w:r>
        <w:t>Der am 5. September 2014 angeordnete einstweilige Vollzugsstopp fällt mit dem vorliegenden Entscheid dahin.</w:t>
      </w:r>
    </w:p>
    <w:p>
      <w:r>
        <w:rPr>
          <w:b/>
        </w:rPr>
        <w:t>E. 14</w:t>
      </w:r>
    </w:p>
    <w:p>
      <w:r>
        <w:t>Bei diesem Ausgang des Verfahrens wären die Kosten grundsätzlich der Beschwerde­führerin aufzuerlegen (Art. 63 Abs. 1 VwVG). Ihre Gesuche um Gewährung der unentgeltlichen Prozessführung und der unentgeltlichen Rechtsverbeiständung sind - unabhängig der bis zum heutigen Zeitpunkt nicht nachgewiesenen Bedürftigkeit - abzuweisen, weil sich die Beschwerde als aussichtslos im Sinne von Art. 65 Abs. 1 VwVG erweist, zumal die Beschwerdeführerin einzig in pauschaler Weise auf das Vorliegen einer dauerhaften Beziehung, systemische Mängel in Italien und einen schlechten Gesundheitszustand verwies. Die Verfahrenskosten sind demzufolge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