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E-493/2012 vom 2. Februar 2012</w:t>
      </w:r>
    </w:p>
    <w:p>
      <w:r>
        <w:t>Bundesverwaltungsgericht, 2012-02-02, DE</w:t>
      </w:r>
    </w:p>
    <w:p>
      <w:r>
        <w:rPr>
          <w:b/>
        </w:rPr>
        <w:t xml:space="preserve">Quelle: </w:t>
      </w:r>
      <w:r>
        <w:t>https://mcp.opencaselaw.ch/entscheid/bvger_E-493_2012</w:t>
      </w:r>
    </w:p>
    <w:p>
      <w:r>
        <w:t>FR: TAF E-493/2012 du 2 février 2012</w:t>
      </w:r>
    </w:p>
    <w:p>
      <w:r>
        <w:t>IT: TAF E-493/2012 del 2 febbraio 2012</w:t>
      </w:r>
    </w:p>
    <w:p>
      <w:pPr>
        <w:pStyle w:val="Heading2"/>
      </w:pPr>
      <w:r>
        <w:t>Regeste</w:t>
      </w:r>
    </w:p>
    <w:p>
      <w:r>
        <w:t>Flughafenverfahren (Asyl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 und formgerecht eingereichte Beschwerde (Art. 52 VwVG und Art. 108 Abs. 1 AsylG) ist einzutreten.</w:t>
      </w:r>
    </w:p>
    <w:p>
      <w:r>
        <w:rPr>
          <w:b/>
        </w:rPr>
        <w:t>E. 2.1</w:t>
      </w:r>
    </w:p>
    <w:p>
      <w:r>
        <w:t>Mit der Beschwerde kann eine Verletzung von Bundesrecht, eine unrichtige oder unvollständige Feststellung des rechtserheblichen Sachverhalts und Unangemessenheit gerügt werden (Art. 106 Abs. 1 AsylG). Die Beschwerde erweist sich als offensichtlich unbegründet und ist im Verfahren einzelrichterlicher Zuständigkeit mit Zustimmung eines zweiten Richters oder einer zweiten Richterin (Art. 111 Bst. e AsylG) ohne Weiterungen und mit summarischer Begründung zu behandeln (Art. 111a Abs. 1 und 2 AsylG).</w:t>
      </w:r>
    </w:p>
    <w:p>
      <w:r>
        <w:rPr>
          <w:b/>
        </w:rPr>
        <w:t>E. 3.1</w:t>
      </w:r>
    </w:p>
    <w:p>
      <w:r>
        <w:t>Gemäss Art. 7 AsylG muss die Flüchtlingseigenschaft nachweisen oder zumindest glaubhaft machen, wer um Asyl nachsucht. 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w:t>
      </w:r>
    </w:p>
    <w:p>
      <w:r>
        <w:rPr>
          <w:b/>
        </w:rPr>
        <w:t>E. 3.2</w:t>
      </w:r>
    </w:p>
    <w:p>
      <w:r>
        <w:t>Das Bundesverwaltungsgericht hat die Anforderungen an das Glaubhaftmachen der Vorbringen in einem jüngeren Entscheid dargelegt und folgt dabei ständiger Praxis. Darauf kann hier verwiesen werden (vgl. statt vieler BGVE 2010/57 E. 2.2 und 2.3).</w:t>
      </w:r>
    </w:p>
    <w:p>
      <w:r>
        <w:rPr>
          <w:b/>
        </w:rPr>
        <w:t>E. 3.3</w:t>
      </w:r>
    </w:p>
    <w:p>
      <w:r>
        <w:t>Die Vorinstanz ist nach sorgfältiger Beweiswürdigung zum Schluss gekommen, dass die Vorbringen des Beschwerdeführers vor den Anforderungen an das Glaubhaftmachen gemäss Art. 7 AsylG nicht standhalten. In der angefochtenen Verfügung wird einlässlich begründet, welche Vorbringen im Einzelnen nicht nachvollziehbar, pauschal oder nicht plausibel sind und weshalb von einer konstruierten Sachverhalts-Schilderung auszugehen ist. Der Beschwerdeführer setzt sich damit nicht auseinander und zeigt mit keinem Wort auf, inwiefern die vorinstanzliche Beweiswürdigung zu beanstanden sein soll. Solches ist auch nicht ersichtlich. Die Vorinstanz stellt zunächst zu Recht fest, dass die Angaben des Beschwerdeführers zur Person des Captains und zur Zusammenarbeit wenig konkret, pauschal und nicht nachvollziehbar sind. Der Beschwerdeführer konnte nur gerade dessen Vornamen nennen und das Alter ungefähr schätzen, was aufgrund des intensiven Kontakts und der Aussage des Beschwerdeführers, wonach der Captain ihn wie einen Sohn adoptiert habe, nicht nachvollziehbar ist (BFM-Akten, act. 12 S. 8). Weiter konnte er nicht schlüssig begründen, weshalb der Captain ihn als Leibwächter bzw. rechte Hand angestellt hatte (BFM-Akten, act. 12 S. 8-10). Insbesondere konnte er keine näheren Angaben zu den vielen Reisen des Captains und dessen Reisegründe machen, obwohl er ihn angeblich immer begleitet hatte (BFM-Akten, act. 12 S. 8). Sehr unwahrscheinlich ist, dass der Beschwerdeführer, der vorher nie politisch tätig war, für die Flugblattaktion in C._______ verantwortlich gewesen sein und als Einziger Flugblätter verteilt haben soll (BFM-Akten, act. 12 S. 10, 11 und 17). Die Vorinstanz nimmt sodann zutreffend an, dass die Ausführungen zu den Verhaftungen, den Haftgründen und Folterungen substanzarm und pauschal ausgefallen sind. Der Gesuchsteller konnte die beiden Inhaftierungen und die dabei erfolgten Folterungen trotz mehrfacher und behutsamer Aufforderung nicht detailliert beschreiben (BFM-Akten, act. 12 S. 11-15, act. 9 S. 10 und 11). Die Unglaubhaftigkeit der Aussagen wird dadurch unterstützt, dass der Gesuchsteller keinerlei Spuren von den Folterungen auf sich trägt (BFM-Akten, act. 12 S. 15). Ebenso hält es die Vorinstanz zu Recht für unglaubhaft, dass der Beschwerdeführer von seinen Mitgefangenen sexuell angegangen worden sein und er in der Folge einen Mitgefangenen mit einem Stuhl getötet haben soll, wäre es doch zu erwarten gewesen, dass er einen solch zweifelsohne einschneidenden Vorfall näher hätte beschreiben können und bereits anlässlich der ersten Befragung vorgebracht hätte (BFM-Akten, act. 12 S.16). Geradezu ausgeschlossen ist es, dass eine Tötung keine unmittelbaren negativen Konsequenzen für ihn gehabt haben soll (BFM-Akten, act. 12 S. 16). Der Vorinstanz ist damit zu Recht zum Schluss gekommen, dass die Vorbringen des Beschwerdeführers insgesamt unglaubhaft ausgefallen und auf ihre Asylrelevanz nicht weiter zu prüfen sind, weshalb der angefochtene Entscheid im Asylpunkt zu bestätigen ist.</w:t>
      </w:r>
    </w:p>
    <w:p>
      <w:r>
        <w:rPr>
          <w:b/>
        </w:rPr>
        <w:t>E. 4</w:t>
      </w:r>
    </w:p>
    <w:p>
      <w:r>
        <w:t>Gemäss Art. 44 Abs. 1 AsylG verfügt das Bundesamt in der Regel die Wegweisung aus der Schweiz und ordnet den Vollzug an, wenn es das Asylgesuch ablehnt oder darauf nicht eintritt. Da der Beschwerdeführer weder über eine ausländerrechtliche Aufenthaltsbewilligung noch über einen Anspruch auf Erteilung einer solchen verfügt (BVGE 2009/50 E. 9), ist die Anordnung der Wegweisung nicht zu beanstanden.</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Da dem Beschwerdeführer keine Flüchtlingseigenschaft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Im Lichte dieser Bestimmungen sind keine Anhaltspunkte dafür auszumachen, dass der Beschwerdeführer im Falle einer Ausschaffung nach Kamerun dort mit beachtlicher Wahrscheinlichkeit einer verbotenen Strafe oder Behandlung ausgesetzt wäre. Der Wegweisungsvollzug ist zulässig.</w:t>
      </w:r>
    </w:p>
    <w:p>
      <w:r>
        <w:rPr>
          <w:b/>
        </w:rPr>
        <w:t>E. 5.3</w:t>
      </w:r>
    </w:p>
    <w:p>
      <w:r>
        <w:t>Nach Art. 83 Abs. 4 AuG kann der Vollzug für Ausländerinnen und Ausländer unzumutbar sein, wenn sie im Heimat- oder Herkunftsstaat auf Grund von Situationen wie Krieg, Bürgerkrieg, allgemeiner Gewalt und medizinischer Notlage konkret gefährdet sind. Weder die allgemeine politische Situation in Kamerun noch andere Gründe sprechen gegen die Zumutbarkeit des Wegweisungsvollzugs. Beim Beschwerdeführer handelt es sich um einen gesunden erwachsenen Mann, der vor seiner Einreise jahrelang in C._______ gelebt hat. Auch verfügt er dort über ein familiäres und zweifelsohne soziales Netz, welches ihn bei seiner Rückkehr ins Land unterstützen wird. Der Vollzug der Wegweisung erweist sich als zumutbar.</w:t>
      </w:r>
    </w:p>
    <w:p>
      <w:r>
        <w:rPr>
          <w:b/>
        </w:rPr>
        <w:t>E. 5.4</w:t>
      </w:r>
    </w:p>
    <w:p>
      <w:r>
        <w:t>Nach Art. 83 Abs. 2 AuG ist der Wegweisungsvollzug schliesslich auch als möglich zu bezeichnen, da es dem Beschwerdeführer obliegt, sich bei der zuständigen Vertretung des Heimatstaates die für eine Rückkehr notwendigen Reisedokumente zu beschaffen (vgl. Art. 8 Abs. 4 AsylG und dazu auch BVGE 2008/34 E. 12 S. 513 - 515).</w:t>
      </w:r>
    </w:p>
    <w:p>
      <w:r>
        <w:rPr>
          <w:b/>
        </w:rPr>
        <w:t>E. 5.5</w:t>
      </w:r>
    </w:p>
    <w:p>
      <w:r>
        <w:t>Die Vorinstanz hat den Wegweisungsvollzug zusammenfassend zu Recht als zulässig, zumutbar und möglich erachtet, weshalb die Anordnung einer vorläufigen Aufnahme ausser Betracht fällt.</w:t>
      </w:r>
    </w:p>
    <w:p>
      <w:r>
        <w:rPr>
          <w:b/>
        </w:rPr>
        <w:t>E. 6</w:t>
      </w:r>
    </w:p>
    <w:p>
      <w:r>
        <w:t>Nach dem Gesagten ergibt sich, dass die angefochtene Verfügung Bundesrecht nicht verletzt, den rechtserheblichen Sachverhalt richtig und vollständig feststellt und angemessen ist (Art. 106 Abs. 1 AsylG). Die Beschwerde ist abzuweisen.</w:t>
      </w:r>
    </w:p>
    <w:p>
      <w:r>
        <w:rPr>
          <w:b/>
        </w:rPr>
        <w:t>E. 7</w:t>
      </w:r>
    </w:p>
    <w:p>
      <w:r>
        <w:t>Bei diesem Ausgang des Verfahrens sind die Kosten dem Beschwer­deführer aufzuerlegen (Art. 63 Abs. 1 VwVG) und insgesamt auf Fr. 600.- festzusetzen (Art. 1 - 3 des Reglements vom 21. Februar 2008 über die Kosten und Entschädigungen vor dem Bundesverwaltungsgericht [VGKE, SR 173.320.2]). Die prozessualen Anträge des Beschwerdeführers, insbesondere das Gesuch um Verzicht auf die Erhebung eines Kostenvorschusses, sind mit dem vorliegenden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