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E-4937/2022 vom 7. November 2022</w:t>
      </w:r>
    </w:p>
    <w:p>
      <w:r>
        <w:t>Bundesverwaltungsgericht, 2022-11-07, DE</w:t>
      </w:r>
    </w:p>
    <w:p>
      <w:r>
        <w:rPr>
          <w:b/>
        </w:rPr>
        <w:t xml:space="preserve">Quelle: </w:t>
      </w:r>
      <w:r>
        <w:t>https://mcp.opencaselaw.ch/entscheid/bvger_E-4937_2022</w:t>
      </w:r>
    </w:p>
    <w:p>
      <w:r>
        <w:t>FR: TAF E-4937/2022 du 7 novembre 2022</w:t>
      </w:r>
    </w:p>
    <w:p>
      <w:r>
        <w:t>IT: TAF E-4937/2022 del 7 novembre 2022</w:t>
      </w:r>
    </w:p>
    <w:p>
      <w:pPr>
        <w:pStyle w:val="Heading2"/>
      </w:pPr>
      <w:r>
        <w:t>Regeste</w:t>
      </w:r>
    </w:p>
    <w:p>
      <w:r>
        <w:t>Asyl und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t>E-4937/2022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In der Beschwerde werden formelle Rügen erhoben, welche vorab zu beurteilen sind, da sie gegebenenfalls geeignet sind, eine Kassation der vorinstanzlichen Verfügung zu bewirken. Seitens des Beschwerdeführers wird eine Verletzung des Untersuchungsgrundsatzes und des rechtlichen Gehörs gerügt.</w:t>
      </w:r>
    </w:p>
    <w:p>
      <w:r>
        <w:rPr>
          <w:b/>
        </w:rPr>
        <w:t>E. 4.2.1</w:t>
      </w:r>
    </w:p>
    <w:p>
      <w:r>
        <w:t>Unrichtig ist die Sachverhaltsfeststellung, wenn der Verfügung ein fal- scher und aktenwidriger Sachverhalt zugrunde gelegt wird oder Beweise falsch gewürdigt worden sind; unvollständig ist sie, wenn nicht alle für den Entscheid rechtswesentlichen Sachumstände berücksichtigt werden (vgl. KÖLZ/HÄNER/BERTSCHI, Verwaltungsverfahren und Verwaltungs- rechtspflege des Bundes, 3. Aufl. 2013, Rz. 1043). Dieser Grundsatz gilt indes nicht uneingeschränkt; er findet seine Grenzen an der Mitwirkungs- pflicht des Asylsuchenden (Art. 8 AsylG).</w:t>
      </w:r>
    </w:p>
    <w:p>
      <w:r>
        <w:rPr>
          <w:b/>
        </w:rPr>
        <w:t>E. 4.2.2</w:t>
      </w:r>
    </w:p>
    <w:p>
      <w:r>
        <w:t>Der Beschwerdeführer führt aus, er sei anlässlich seiner Anhörung an mehreren Stellen unterbrochen und auch mehrmals explizit aufgefordert worden, nur einen groben Überblick über seine Asylgründe zu geben be- ziehungsweise zusammenfassend zu erzählen (unter Verweis auf mehrere Protokollstellen). Dies sei einerseits ein massiver Eingriff in den Redefluss, welcher geeignet sei, das Aussageverhalten zu seinen Ungunsten zu be- einflussen. Andererseits sei durch die Art der Befragung der Sachverhalt insbesondere zur Anzeigeerstattung nicht rechtsgenüglich festgestellt wor-</w:t>
      </w:r>
    </w:p>
    <w:p>
      <w:r>
        <w:t>E-4937/2022 Seite 6 den. Die Ergänzungen und Präzisierungen würden aufgrund der Aufforde- rungen, sich kurzzuhalten, auch nicht als nachgeschoben bezeichnet wer- den können. Ebenfalls sie der Sachverhalt zum Schutzwillen Indiens sowie zum Gesundheitszustand des Beschwerdeführers nicht erstellt.</w:t>
      </w:r>
    </w:p>
    <w:p>
      <w:r>
        <w:rPr>
          <w:b/>
        </w:rPr>
        <w:t>E. 4.2.3</w:t>
      </w:r>
    </w:p>
    <w:p>
      <w:r>
        <w:t>Dem Beschwerdeführer ist zwar zuzustimmen, dass er anlässlich der Anhörung mehrmals unterbrochen wurde (vgl. Akten der Vorinstanz 1194642 [nachfolgend: SEM-act.] 20/12 F53, F55, F56, F57, F58, F64, F65). Diesbezüglich ist aber darauf hinzuweisen, dass die Verfahrenslei- tung und die Entscheidung über das Vorgehen beim Erstellen des rechts- erheblichen Sachverhalts der Behörde obliegt (vgl. unter vielen Urteil des BVGer E-4475/2020 vom 8. Juni 2022 E. 6.2.8). Es liegt offensichtlich keine Verletzung des Untersuchungsgrundsatzes vor, wenn die Behörde den Beschwerdeführer immer dann unterbricht, wenn seine Ausführungen ausschweifend und ohne rechtliche Relevanz ausfallen. Ebenfalls wurde anlässlich der Unterbrechungen begründet, weshalb sich der Beschwerde- führer kürzer zu fassen hat. Im Übrigen ist festzuhalten, dass die Rechts- vertretung des Beschwerdeführers bei den Anhörungen zugegen war und die Möglichkeit hatte, Fragen zu stellen. Diese Möglichkeit nutzte sie ledig- lich einmal, als sie die Frage an den Beschwerdeführer richtete, ob der erste Vorfall angezeigt worden sei. Im Anschluss an die Beantwortung die- ser Frage wurde im Protokoll ausdrücklich festgehalten, dass die Rechts- vertretung keine weiteren Fragen mehr hat (vgl. SEM-act. 20/12 F77). Am Schluss des Protokolls bestätigte die Rechtsvertretung unterschriftlich, keine (weiteren) Fragen zu haben. Diesbezüglich ist davon auszugehen, dass der Sachverhalt betreffend die Anzeige und den Schutzwillen Indiens auch aus Sicht der Rechtsvertretung und unter Berücksichtigung der Mit- wirkungspflicht des Beschwerdeführers als erstellt gilt. Hinweise zum Vor- bringen des Beschwerdeführers, er habe gegenüber seiner Rechtsvertre- tung anlässlich der Entscheideröffnung «angedeutet», dass er Organisati- onen um anwaltschaftliche Unterstützung gebeten habe, ihm jedoch die Unterstützung verwehrt geblieben sei, sind aus den Akten nicht ersichtlich, und somit der Vorinstanz unbekannt. Diesbezüglich stellt sich eher die Frage, weshalb der Beschwerdeführer die Vorinstanz im vorinstanzlichen Verfahren darüber nicht informierte respektive die Rechtsvertretung dieses Vorbringen im Rahmen ihrer Mitwirkungspflicht der Vorinstanz nicht (um- gehend) mitgeteilt hat. Hinsichtlich der geltend gemachten unzureichenden medizinischen Abklä- rung ist festzuhalten, dass der Beschwerdeführer anlässlich der Anhörung zwar ausführte, er habe (…). Anschliessend führte er aber aus, er sei in</w:t>
      </w:r>
    </w:p>
    <w:p>
      <w:r>
        <w:t>E-4937/2022 Seite 7 der Schweiz nie beim Arzt gewesen und nehme auch keine Medikamente (vgl. SEM-act. 20/12 F4 bis F6). Diese Beeinträchtigungen würden nicht kontinuierlich, sondern ab und zu vorkommen. Auf die Frage, ob er sich in Indien deswegen einer medizinischen Behandlung unterzogen habe, ant- wortete er, er habe nach seinen Problemen keine lange Zeit in Indien ver- bracht und habe daher keine Zeit gehabt, einen Arzt aufzusuchen. Wegen des psychischen Zustandes sei er nie bei einem Arzt gewesen (vgl. SEM- act. 20/12 F49, F52). Bei dieser klaren Aktenlage hat das SEM zu Recht auf die Einholung eines Gutachtens nach Istanbul-Protokoll zur Glaubhaft- machung seiner Foltervorbringen verzichtet und daher den Untersu- chungsgrundsatz nicht verletzt.</w:t>
      </w:r>
    </w:p>
    <w:p>
      <w:r>
        <w:rPr>
          <w:b/>
        </w:rPr>
        <w:t>E. 4.3</w:t>
      </w:r>
    </w:p>
    <w:p>
      <w:r>
        <w:t>Im Weiteren bringt der Beschwerdeführer unter dem Titel «Verletzung des rechtlichen Gehörs» vor, das SEM habe die Abweisung des Asylgesu- ches im Wesentlichen damit begründet, dass er keine Nachteile erlitten habe beziehungsweise die betreffenden Vorbringen unglaubhaft seien. Diese Erwägung entbehre jeder Logik. Aufgrund seiner Begründung ergibt sich jedoch, dass er damit nicht Verletzung formellen Rechts rügt, sondern vielmehr mit der materiellen Würdigung nicht einverstanden ist. Im Übrigen wurde der Entscheid so abgefasst, dass ihn der Beschwerdeführer sach- gerecht anfechten konnte, mithin liegt eine Begründungspflichtverletzung gemäss Art. 35 Abs. 1 VwVG ebenfalls nicht vor.</w:t>
      </w:r>
    </w:p>
    <w:p>
      <w:r>
        <w:rPr>
          <w:b/>
        </w:rPr>
        <w:t>E. 4.4</w:t>
      </w:r>
    </w:p>
    <w:p>
      <w:r>
        <w:t>Nach dem gesagten sind die formellen Rügen unbegründet. Damit er- übrigt sich eine allfällige Rückweisung an die Vorinstanz, das entspre- chende Subeventualbegehren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Aufgrund der Subsidiarität des flüchtlingsrechtlichen Schutzes setzt die Anerkennung der Flüchtlingseigenschaft voraus, dass die betroffene Per- son in ihrem Heimat- oder Herkunftsstaat keinen ausreichenden Schutz vor</w:t>
      </w:r>
    </w:p>
    <w:p>
      <w:r>
        <w:t>E-4937/2022 Seite 8 nichtstaatlicher Verfolgung finden kann. Der Schutz gilt als ausreichend, wenn eine funktionierende Schutzinfrastruktur zur Verfügung steht und die- se dem Betroffenen zugänglich ist, wobei von einem Staat nicht erwartet werden kann, dass er jederzeit präventiv in alle Lebensbereiche seiner Bür- ger eingreifen kann (vgl. zu dieser sog. Schutztheorie BVGE 2011/51 E. 7.1-7.4., 2008/12 E. 7.2.6.2, 2008/4 E. 5.2).</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führte in der angefochtenen Verfügung im Wesentlichen aus, bei Indien, welches vom Bundesrat als verfolgungssicher bezeichnet worden sei, bestehe die gesetzliche Regelvermutung, es finde keine flücht- lingsrechtlich relevante staatliche Verfolgung statt und es gewähre Schutz vor nichtstaatlicher Verfolgung. Er handle sich hierbei um eine relative Ver- folgungssicherheit, welche im Einzelfall auf Grund konkreter und substan- tiierter Hinweise umgestossen werden könne. Festzustellen sei, dass die schriftliche Anzeige des Beschwerdeführers entgegengenommen worden sei. Es wäre angesichts der angeblich lebensbedrohlichen Lage des Be- schwerdeführers zu erwarten gewesen, dass dieser bei der Polizei nach- gefragt hätte, was aus der Anzeige geworden sei. Im Weiteren habe er die mögliche behördliche Unterstützung nicht ausgeschöpft, indem er weder nach dem ersten Vorfall – immerhin einer Entführung mit Misshandlungen von zwei Tagen Dauer und nachfolgenden telefonischen Morddrohungen – noch nach dem dritten und letzten Vorfall – einer bewaffneten Verfolgung auf der Strasse – diese der Polizei angezeigt habe. Solche Ereignisse wür- den von den zuständigen Strafverfolgungsbehörden im Rahmen ihrer Mög- lichkeiten geahndet. Betroffenen Personen sei es somit möglich und zu- mutbar, mit rechtlichen Mitteln und gegebenenfalls mit Hilfe eines Anwaltes gegen die geltend gemachten Übergriffe vorzugehen. Würde sich die Poli- zei aber weigern, die entsprechenden Schritte in die Wege zu leiten, be- stehe die Möglichkeit, sich bei einer höheren Instanz zu beschweren. Aus den Akten seien keine Hinweise ersichtlich, die geeignet seien, die er- wähnte Regelvermutung umzustossen.</w:t>
      </w:r>
    </w:p>
    <w:p>
      <w:r>
        <w:t>E-4937/2022 Seite 9</w:t>
      </w:r>
    </w:p>
    <w:p>
      <w:r>
        <w:rPr>
          <w:b/>
        </w:rPr>
        <w:t>E. 6.2</w:t>
      </w:r>
    </w:p>
    <w:p>
      <w:r>
        <w:t>In der Beschwerde wird im Wesentlichen erwidert, der Beschwerdefüh- rer habe sich aktiv um staatlichen Schutz bemüht. Seine Ehefrau habe be- reits am Tag der Entführung die Polizei benachrichtigt und um Schutz er- sucht. Im Nachgang der schweren Folterungen habe sich der Beschwer- deführer in einem prekären Gesundheitszustand befunden und sich eine Woche im Spital behandeln lassen müssen, weshalb es ihm nicht möglich gewesen sei, bei der Polizei vorzusprechen. Anlässlich der Entscheideröff- nung vom 27. Oktober 2022 habe er seiner Rechtsvertretung auch mitge- teilt, dass die Entführer ihm mit Konsequenzen gedroht hätten, würde er eine Anzeige einreichen. Er habe am Tag der Anzeigeerstattung eine Ab- schrift beziehungsweise Kopie der Anzeige erstellt. Seine Ehefrau habe davon am 28. Oktober 2022 eine Fotokopie übermitteln können (unter Ver- weis auf die Beilage 3 zur Beschwerde). Während der Entscheideröffnung habe er ebenfalls gegenüber seiner Rechtsvertretung seine Vorbringen präzisiert. So sei er nach der Anzeigeerstattung telefonisch von Unbekann- ten bedroht worden. Durch diese Äusserungen habe der indische Staat klarerweise zu verstehen gegeben, dass er den Beschwerdeführer als Aus- löser der Gewalttaten ansehe und mithin nicht gewillt sei, ihm Schutz zu gewähren. Hinsichtlich der Glaubhaftigkeit seiner Aussagen führt der Be- schwerdeführer aus, seine Aussagen seien durchwegs detailliert ausgefal- len (unter Verweis auf mehrere Stellen des Anhörungsprotokolls).</w:t>
      </w:r>
    </w:p>
    <w:p>
      <w:r>
        <w:rPr>
          <w:b/>
        </w:rPr>
        <w:t>E. 7.1</w:t>
      </w:r>
    </w:p>
    <w:p>
      <w:r>
        <w:t>Das Gericht gelangt nach Prüfung der Akten zum Schluss, dass die Vorbringen des Beschwerdeführers weder den Anforderungen an die Glaubhaftmachung gemäss Art. 7 AsylG, noch denjenigen an die Flücht- lingseigenschaft gemäss Art. 3 AsylG standzuhalten vermögen.</w:t>
      </w:r>
    </w:p>
    <w:p>
      <w:r>
        <w:rPr>
          <w:b/>
        </w:rPr>
        <w:t>E. 7.2</w:t>
      </w:r>
    </w:p>
    <w:p>
      <w:r>
        <w:t>Das SEM hat in der angefochtenen Verfügung zu Recht darauf hinge- wiesen, dass Indien durch den Bundesrat als verfolgungssicherer Staat ("Safe Country") gemäss Art. 6a Abs. 2 Bst. a AsylG bezeichnet wurde. Im Rahmen der periodischen Überprüfung (Art. 6a Abs. 3 AsylG) ist die Schweizer Regierung darauf bisher nicht zurückgekommen (Anhang 2 der Asylverordnung 1 vom 11. August 1999 [AsylV 1, SR 142.311]). Die Be- zeichnung eines Landes als "Safe Country" beinhaltet die Regelvermu- tung, dass asylrelevante staatliche Verfolgung nicht stattfinde und Schutz vor nichtstaatlicher Verfolgung gewährleistet sei. Hierbei handelt es sich um eine relative Verfolgungssicherheit, welche im Einzelfall auf Grund kon- kreter und substantiierter Hinweise umgestossen werden kann.</w:t>
      </w:r>
    </w:p>
    <w:p>
      <w:r>
        <w:t>E-4937/2022 Seite 10</w:t>
      </w:r>
    </w:p>
    <w:p>
      <w:r>
        <w:rPr>
          <w:b/>
        </w:rPr>
        <w:t>E. 7.3</w:t>
      </w:r>
    </w:p>
    <w:p>
      <w:r>
        <w:t>Vorliegend wird in einem ersten Schritt geprüft, ob die Ausführungen des Beschwerdeführers zum Schutzwillen des indischen Staates den An- forderungen an die Glaubhaftigkeit gemäss Art. 7 AsylG genügen. Betref- fend die Anzeige(n) fragte die Rechtsvertretung den Beschwerdeführer, ob der erste Vorfall angezeigt worden sei, was dieser klar verneinte (vgl. SEM- act. 20/12 F77). Das Vorbringen in der Beschwerde, seine Ehefrau habe bereits am Tag der Entführung die Polizei um Schutz ersucht, ist folglich als nachgeschoben zu qualifizieren. Der Beschwerdeführer brachte an der Anhörung weiter vor, lediglich den zweiten Vorfall, nämlich denjenigen vom (…) 2022, bei der Polizei zur Anzeige gebracht zu haben (vgl. SEM-act. 20/12 F68 f.). Auch die Frage, ob er den Vorfall am (…) 2022 gemeldet habe, verneinte er (vgl. SEM-act. 20/12 F70). Als Beweismittel gab er auf Beschwerdeebene ein nichtübersetztes Schreiben vom (…) 2022 zu den Akten, welches gemäss seinen Angaben eine Kopie seines Anzeigeschrei- bens (bezüglich des zweiten Vorfalls) an die Polizei sein soll. In der Be- schwerde wird allerdings mit keinem Wort erwähnt, weshalb das Schrei- ben, welches die Ehefrau an die Rechtsvertretung habe übermitteln kön- nen, nicht bereits im vorinstanzlichen Verfahren hat eingebracht werden können. Ferner handelt es sich um ein Schreiben, welches, gemäss eige- nen Angaben, der Beschwerdeführer selber verfasst hat. Diesbezüglich ist festzuhalten, dass ein solches Schreiben auch erst hinsichtlich des Be- schwerdeverfahrens hätte angefertigt werden können. Dem Schreiben kommt offensichtlich, auch wenn es in deutscher Sprache vorliegen würde, kein Beweiswert zu. Zur behaupteten Anzeigeerhebung ist zudem anzu- merken, dass, wie die Vorinstanz richtig festhält, es nicht nachvollziehbar ist, dass sich der Beschwerdeführer nach der angeblichen Einreichung der Strafanzeige nie nach dem Verfahrensstand erkundigt hat. Im Übrigen reiste der Beschwerdeführer am (…) 2022, mithin lediglich rund (…) Wo- chen später, ab. Es liegt durchaus im Bereich des Möglichen, dass die An- zeige, bei Wahrunterstellung einer tatsächlichen Einreichung einer sol- chen, schlicht noch nicht behandelt worden ist. Ob dem Beschwerdeführer die lediglich behauptete Einreichung der Anzeige betreffend den zweiten Vorfall geglaubt werden kann, wird jedoch aufgrund der nachfolgenden Er- wägung offengelassen.</w:t>
      </w:r>
    </w:p>
    <w:p>
      <w:r>
        <w:rPr>
          <w:b/>
        </w:rPr>
        <w:t>E. 7.4</w:t>
      </w:r>
    </w:p>
    <w:p>
      <w:r>
        <w:t>Dem Beschwerdeführer ist es – in Übereinstimmung mit der Vorinstanz – nicht gelungen darzutun, dass die indischen Behörden in seinem Fall nicht schutzfähig und schutzwillig wären. Selbst wenn er – wie von ihm vorgebracht – eine Anzeige bei der Polizei hinsichtlich des zweiten Vorfal- les eingereicht hätte, hätte dies nichts daran geändert, dass es ihm möglich und zumutbar (gewesen) wäre, sich – allenfalls mithilfe eines Anwaltes und</w:t>
      </w:r>
    </w:p>
    <w:p>
      <w:r>
        <w:t>E-4937/2022 Seite 11 nach dem Abwarten einer adäquaten Zeitspanne – erneut an die Polizei oder bei fehlbarem Verhalten der Polizeibeamten an die nächsthöhere ge- richtliche Instanz zu wenden. Dass es den Behörden allenfalls nicht gelun- gen wäre, die unbekannten Täter zur Verantwortung zu ziehen, stellt die grundsätzliche Schutzfähigkeit der indischen Behörden nicht in Frage. Der Beschwerdeführer vermag es mit seinen Vorbringen offensichtlich nicht, die Vermutung des Vorliegens des Schutzwillens und der Schutzfähigkeit der indischen Behörden umzustossen.</w:t>
      </w:r>
    </w:p>
    <w:p>
      <w:r>
        <w:rPr>
          <w:b/>
        </w:rPr>
        <w:t>E. 7.5</w:t>
      </w:r>
    </w:p>
    <w:p>
      <w:r>
        <w:t>Nach dem Gesagten ist die Vorinstanz zu Recht zum Schluss gekom- men, dass der Beschwerdeführer nicht auf den Schutz der Schweiz ange- wiesen ist. Demzufolge hat sie auch zu Recht seine Flüchtlingseigenschaft verneint und sein Asylgesuch abgelehnt.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t>E-4937/2022 Seite 12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nach In- dien ist demnach unter dem Aspekt von Art. 5 AsylG rechtmässig. Sodann ergeben sich weder aus den Aussagen des Beschwerdeführers noch aus den Akten Anhaltspunkte dafür, dass er für den Fall einer Aus- schaffung nach Indien dort mit beachtlicher Wahrscheinlichkeit einer nach Art. 3 EMRK oder Art. 1 FoK verbotenen Strafe oder Behandlung ausge- 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Auch die allgemeine Menschenrechtssituation in Indien lässt den Wegweisungsvollzug zum heutigen Zeitpunkt nicht als unzulässig erschei- nen. 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t>E-4937/2022 Seite 13 Die allgemeine Lage in Indien ist weder von Bürgerkrieg noch von allge- meiner Gewalt gekennzeichnet, so dass der Vollzug der Wegweisung dort- hin grundsätzlich zumutbar ist. Zudem gilt Indien als „Safe Country“. Wie die Vorinstanz zutreffend ausführte, ist der Beschwerdeführer gut ausge- bildet und verfügt über Berufserfahrung in diversen Branchen, insbeson- dere habe er vor seiner Ausreise (…) gearbeitet. Zudem habe er angege- ben, ein sehr gutes Leben aufgrund seiner Arbeitstätigkeit und dank seiner Ehefrau, welche als (…) arbeite und mit welcher er regelmässigen Kontakt pflege, zu haben. Mit ihr verfüge er auch über ein soziales Netz in Indien. Bezüglich der geltend gemachten medizinischen Probleme ist festzuhal- ten, dass der Beschwerdeführer angab, an (…) zu leiden. Da der Be- schwerdeführer ausführte, in Indien keine Zeit für einen Arztbesuch gehabt zu haben, somit keinen solchen in Anspruch genommen habe, er in der Schweiz nicht beim Arzt gewesen sei, er keine Medikamente nehme und auch diesbezüglich keine Arztberichte vorliegen, ist nicht von einer solchen Schwere seiner Beschwerden auszugehen, dass ein Vollzug der Wegwei- sung im Sinne der Rechtsprechung unzumutbar sein würde.</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Für eine Rückweisung der Sache an die Vorinstanz besteht nach dem Gesagten kein Anlass. Die Beschwerde ist abzuweisen.</w:t>
      </w:r>
    </w:p>
    <w:p>
      <w:r>
        <w:rPr>
          <w:b/>
        </w:rPr>
        <w:t>E. 11.1</w:t>
      </w:r>
    </w:p>
    <w:p>
      <w:r>
        <w:t>Mit dem Entscheid in der Hauptsache ist das Begehren um Erlass des Kostenvorschusses gegenstandslos geworden.</w:t>
      </w:r>
    </w:p>
    <w:p>
      <w:r>
        <w:t>E-4937/2022 Seite 14</w:t>
      </w:r>
    </w:p>
    <w:p>
      <w:r>
        <w:rPr>
          <w:b/>
        </w:rPr>
        <w:t>E. 11.2</w:t>
      </w:r>
    </w:p>
    <w:p>
      <w:r>
        <w:t>Die gestellten Begehren erweisen sich als offensichtlich aussichtslos, weshalb das Gesuch um Gewährung der unentgeltlichen Prozessführung ungeachtet einer allfälligen prozessualen Bedürftigkeit abzuweisen ist (Art. 65 Abs. 1 VwVG).</w:t>
      </w:r>
    </w:p>
    <w:p>
      <w:r>
        <w:rPr>
          <w:b/>
        </w:rPr>
        <w:t>E. 11.3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E-4937/2022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