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E-4932/2012 vom 24. September 2012</w:t>
      </w:r>
    </w:p>
    <w:p>
      <w:r>
        <w:t>Bundesverwaltungsgericht, 2012-09-24, DE</w:t>
      </w:r>
    </w:p>
    <w:p>
      <w:r>
        <w:rPr>
          <w:b/>
        </w:rPr>
        <w:t xml:space="preserve">Quelle: </w:t>
      </w:r>
      <w:r>
        <w:t>https://mcp.opencaselaw.ch/entscheid/bvger_E-4932_2012</w:t>
      </w:r>
    </w:p>
    <w:p>
      <w:r>
        <w:t>FR: TAF E-4932/2012 du 24 septembre 2012</w:t>
      </w:r>
    </w:p>
    <w:p>
      <w:r>
        <w:t>IT: TAF E-4932/2012 del 24 settembre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6.1</w:t>
      </w:r>
    </w:p>
    <w:p>
      <w:r>
        <w:t>Als Grund ihrer Asylgesuche machten die Beschwerdeführenden im Wesentlichen geltend, wegen ihrer Angehörigkeit zur ethnischen Minderheit der Roma seien sie konstant von vermummten Dritten behelligt worden, wobei diese auch in ihr Haus eingedrungen und den Ehemann bzw. Vater (Beschwerdeführer) geschlagen hätten. Auch sei ihr Sohn in der Schule diskrimi­niert und von Mitschülern traktiert worden. Die Vorinstanz erachtete in ihrer Verfügung vom 22. März 2012 diese Vorbringen insbesondere als zu wenig substantiiert dargetan und deshalb unglaubhaft.</w:t>
      </w:r>
    </w:p>
    <w:p>
      <w:r>
        <w:rPr>
          <w:b/>
        </w:rPr>
        <w:t>E. 6.2</w:t>
      </w:r>
    </w:p>
    <w:p>
      <w:r>
        <w:t>Ihr Wiedererwägungsgesuch begründeten die Beschwerdeführenden damit, dass sie nun durch den Brief der Nachbarin, welcher von weiteren Personen unterschrieben worden sei und Gewalt gegen die Eltern des Beschwerdeführers darlegt, belegen könnten, dass sie (die Beschwerdeführenden) als Zielscheibe von rassistischen Angriffen ausgesucht worden seien. Es sei davon auszugehen, dass die Angreifer eine Rückkehr der Beschwerdeführenden in ihr Heimatdorf sofort erfahren würden, weshalb die Bedrohung an Leib und Leben erneut bestehen würde.</w:t>
      </w:r>
    </w:p>
    <w:p>
      <w:r>
        <w:rPr>
          <w:b/>
        </w:rPr>
        <w:t>E. 6.3</w:t>
      </w:r>
    </w:p>
    <w:p>
      <w:r>
        <w:t>Das BFM stellte in seiner Verfügung vom 31. August 2012 zu Recht fest, dass damit weder neue noch revisionsrechtlich erhebliche Tatsachen dargetan werden, da das Problem von (unerwünschten) Besuchen von unbekannten Dritten bereits im ordentlichen Verfahren einer Prüfung unterzogen wurde, wobei die Angaben der Beschwerdeführenden als unglaubhaft qualifiziert worden sind. Das Wiedererwägungsgesuch enthält somit nichts, das den Entscheid vom 22. März 2012 umstossen könnte. Das BFM wertete den eingereichten Brief als Gefälligkeitsschreiben.</w:t>
      </w:r>
    </w:p>
    <w:p>
      <w:r>
        <w:rPr>
          <w:b/>
        </w:rPr>
        <w:t>E. 6.4</w:t>
      </w:r>
    </w:p>
    <w:p>
      <w:r>
        <w:t>Mit Rechtsmitteleingabe vom 19. September 2012 gelingt es den Beschwerdeführenden nicht, diese Einschätzung - welcher sich das Bundesverwaltungsgericht anschliesst - umzustossen. Weder die Entgegnung, dass es sich beim Brief der Nachbarin nicht um ein Gefälligkeitsschreiben handle, noch das Einreichen einer Kopie eines Partei-Ausweises des Beschwerdeführers lassen diese Einschätzung in einem anderen Licht erscheinen. Ferner wird - ausser Aussagen über die angeblich allgemeine Diskriminierungssituation von Roma in Serbien - auch nichts Neues oder Erhebliches vorgetragen, das zu einer anderen Einschätzung hinsichtlich der Wegweisung beziehungsweise des Wegweisungsvollzugs führen müsste. Bezüglich die Einschätzung der Lage von Roma in Serbien kann im Übrigen auf die diesbezüglichen vorinstanzlichen Erwägungen des BFM in seiner Verfügung vom 22. März 2012 hingewiesen werden, welchen sich das Bundesverwaltungsgericht anschliesst.</w:t>
      </w:r>
    </w:p>
    <w:p>
      <w:r>
        <w:rPr>
          <w:b/>
        </w:rPr>
        <w:t>E. 6.5</w:t>
      </w:r>
    </w:p>
    <w:p>
      <w:r>
        <w:t>Das Bundesverwaltungsgericht gelangt zum Schluss, dass zurzeit keine gegen­über der Situation bei Eintritt der Rechtskraft der ursprünglichen Verfügung vom 22. März 2012 entscheidrelevant veränderte Sachlage vorliegt, zumal die Be­schwerdeführenden teilweise Sachumstände vorbringen, die sie bereits im Rahmen des ordentli­chen Verfahrens vor der Vorinstanz oder im Rahmen einer Beschwerde gegen die (unangefochten gebliebene) Verfügung in den Grundzügen ein­brachten beziehungswei­se hätten einbringen können.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VwVG). Das Gesuch um Gewährung der unentgeltlichen Rechtspflege im Sinne von Art. 65 Abs. 1 des Verwaltungsverfahrensgesetzes vom 20. Dezember 1968 (VwVG, SR 172.021) ist abzuweisen, nachdem sich die Beschwerde als offensichtlich unbegründet erwies. Die Kosten sind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