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E-4921/2015 vom 13. Januar 2016</w:t>
      </w:r>
    </w:p>
    <w:p>
      <w:r>
        <w:t>Bundesverwaltungsgericht, 2016-01-13, FR</w:t>
      </w:r>
    </w:p>
    <w:p>
      <w:r>
        <w:rPr>
          <w:b/>
        </w:rPr>
        <w:t xml:space="preserve">Quelle: </w:t>
      </w:r>
      <w:r>
        <w:t>https://mcp.opencaselaw.ch/entscheid/bvger_E-4921_2015</w:t>
      </w:r>
    </w:p>
    <w:p>
      <w:r>
        <w:t>FR: TAF E-4921/2015 du 13 janvier 2016</w:t>
      </w:r>
    </w:p>
    <w:p>
      <w:r>
        <w:t>IT: TAF E-4921/2015 del 13 gennaio 2016</w:t>
      </w:r>
    </w:p>
    <w:p>
      <w:pPr>
        <w:pStyle w:val="Heading2"/>
      </w:pPr>
      <w:r>
        <w:t>Regeste</w:t>
      </w:r>
    </w:p>
    <w:p>
      <w:r>
        <w:t>Asile (sans renvoi)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des recourants. Ce montant est entièrement couvert par l'avance de frais de 600 francs versée le 3 novembre 2015.</w:t>
      </w:r>
    </w:p>
    <w:p>
      <w:r>
        <w:rPr>
          <w:b/>
        </w:rPr>
        <w:t>E. 3</w:t>
      </w:r>
    </w:p>
    <w:p>
      <w:r>
        <w:t>Le présent arrêt est adressé aux recourants, au SEM et à l'autorité cantonale. Le juge unique : La greffière : William Waeber Isabelle Fournier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