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E-4921/2013 vom 6. September 2013</w:t>
      </w:r>
    </w:p>
    <w:p>
      <w:r>
        <w:t>Bundesverwaltungsgericht, 2013-09-06, DE</w:t>
      </w:r>
    </w:p>
    <w:p>
      <w:r>
        <w:rPr>
          <w:b/>
        </w:rPr>
        <w:t xml:space="preserve">Quelle: </w:t>
      </w:r>
      <w:r>
        <w:t>https://mcp.opencaselaw.ch/entscheid/bvger_E-4921_2013</w:t>
      </w:r>
    </w:p>
    <w:p>
      <w:r>
        <w:t>FR: TAF E-4921/2013 du 6 septembre 2013</w:t>
      </w:r>
    </w:p>
    <w:p>
      <w:r>
        <w:t>IT: TAF E-4921/2013 del 6 settembre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formgenügend eingereichte Beschwerde (Art. 108 Abs. 2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hielt in ihrer Verfügung vom 22. August 2013 fest, dass der Abgleich der Fingerabdrücke mit der Zentraleinheit Eurodac nachgewiesen habe, dass der Beschwerdeführer am 12. August 2010 in Litauen, am 23. Februar 2011 in Finnland, am 18. Mai 2011 in Schweden, am 13. September 2012 in Polen, am 17. September 2012 in Deutschland und am 26. März 2013 in Luxemburg um Asyl ersucht hatte. Auf Informationsersuchen vom 13. August 2013 hin teilten die Behörden Litauens der Schweiz mit, dass der Beschwerdeführer am 3. Juli 2011 über Lettland nach Georgien zurückgeführt worden sei. Gestützt darauf ersuchte das BFM am 16. August 2013 die polnischen Behörden um Übernahme des Beschwerdeführers im Sinne von Art. 16. Abs. 1 Bst. c VO Dublin. Die polnischen Behörden hiessen das Ersuchen am 22. August 2013 gut.</w:t>
      </w:r>
    </w:p>
    <w:p>
      <w:r>
        <w:rPr>
          <w:b/>
        </w:rPr>
        <w:t>E. 3.3</w:t>
      </w:r>
    </w:p>
    <w:p>
      <w:r>
        <w:t>Der Beschwerdeführer macht geltend, die polnischen Behörden würden ihn nach Georgien zurückführen, wo ihm der Tod drohe.</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Art. 3 Abs. 2 Dublin-II-VO ist nicht direkt anwendbar, sondern nur in Verbindung mit einer anderen Norm des nationalen oder internationalen Rechts anrufbar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Polen ist Signatarstaat der FK, EMRK und FoK und es bestehen keine konkreten Hinweise dafür, dass sich Polen nicht an die daraus resultierenden Verpflichtungen hält. Der Beschwerdeführer substantiiert in keiner Weise, dass sein Asylgesuch nicht sorgfältig geprüft werde oder die angefochtene Verfügung zu beanstanden sein sollte, und solches ist auch nicht anzunehmen. Die Vorinstanz ist demnach in Anwendung von Art. 34 Abs. 2 Bst. d AsylG auf das Asylgesuch zu Recht nicht eingetreten.</w:t>
      </w:r>
    </w:p>
    <w:p>
      <w:r>
        <w:rPr>
          <w:b/>
        </w:rPr>
        <w:t>E. 5</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Im Rahmen des Dublin-Verfahrens, bei dem es sich um ein Überstellungsverfahren in den für die Prüfung des Asylgesuches zuständigen Staat handelt, bleibt systembedingt kein Raum für Ersatzmassnahmen im Sinne von Art. 44 Abs. 2 AsylG i.V.m. Art. 83 Abs. 3 und 4 AuG (vgl. BVGE 2010/45 E. 10.2). Eine entsprechende Prüfung, soweit notwendig, findet vielmehr bereits im Rahmen des Nichteintretensentscheides statt. Die Vorinstanz hat den Vollzug der Wegweisung in diesem Sinne zu Recht als zulässig, zumutbar und möglich bezeichnet.</w:t>
      </w:r>
    </w:p>
    <w:p>
      <w:r>
        <w:rPr>
          <w:b/>
        </w:rPr>
        <w:t>E. 7</w:t>
      </w:r>
    </w:p>
    <w:p>
      <w:r>
        <w:t>Nach dem Gesagten ergibt sich, dass die angefochtene Verfügung Bundesrecht nicht verletzt und auch sonst nicht zu beanstanden ist (vgl. Art. 106 Abs. 1 AsylG). Die Beschwerde ist abzuweisen.</w:t>
      </w:r>
    </w:p>
    <w:p>
      <w:r>
        <w:rPr>
          <w:b/>
        </w:rPr>
        <w:t>E. 8</w:t>
      </w:r>
    </w:p>
    <w:p>
      <w:r>
        <w:t>Bei diesem Ausgang des Verfahrens sind die Kosten von Fr. 600.- dem Beschwerdeführer aufzuerlegen (Art. 37 VGG i.V.m. Art. 68 Abs. 2 VwVG und Art. 63 Abs. 1 VwVG ;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