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E-4910/2016 vom 9. September 2016</w:t>
      </w:r>
    </w:p>
    <w:p>
      <w:r>
        <w:t>Bundesverwaltungsgericht, 2016-09-09, DE</w:t>
      </w:r>
    </w:p>
    <w:p>
      <w:r>
        <w:rPr>
          <w:b/>
        </w:rPr>
        <w:t xml:space="preserve">Quelle: </w:t>
      </w:r>
      <w:r>
        <w:t>https://mcp.opencaselaw.ch/entscheid/bvger_E-4910_2016</w:t>
      </w:r>
    </w:p>
    <w:p>
      <w:r>
        <w:t>FR: TAF E-4910/2016 du 9 septembre 2016</w:t>
      </w:r>
    </w:p>
    <w:p>
      <w:r>
        <w:t>IT: TAF E-4910/2016 del 9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Gestützt auf Art. 111a Abs. 1 AsylG wird auf die Durchführung des Schriftenwechsels verzichtet.</w:t>
      </w:r>
    </w:p>
    <w:p>
      <w:r>
        <w:rPr>
          <w:b/>
        </w:rPr>
        <w:t>E. 3.1</w:t>
      </w:r>
    </w:p>
    <w:p>
      <w:r>
        <w:t>In der Rechtsmittelschrift vom 11. August 2016 wurde geltend gemacht, mit der pauschalen Annahme, der Beschwerdeführer sei volljährig, verletze das SEM dessen Rechte als unbegleiteter Minderjähriger, das heisst während der Befragung hätte eine Vertrauensperson anwesend sein müssen (Art. 6 Dublin-III-VO). Diese Rüge ist vorab zu prüfen, da ein Verfahrensmangel allenfalls geeignet wäre, eine Kassation des vorinstanzlichen Entscheides zu bewirken (vgl. KÖLZ/HÄNER/BERTSCHI, Verwaltungsverfahren und Verwaltungsrechtspflege des Bundes, 3. Aufl. 2013, Rz. 1151 ff.).</w:t>
      </w:r>
    </w:p>
    <w:p>
      <w:r>
        <w:rPr>
          <w:b/>
        </w:rPr>
        <w:t>E. 3.2</w:t>
      </w:r>
    </w:p>
    <w:p>
      <w:r>
        <w:t>Gemäss Art. 6 Abs. 2 Dublin-III-VO wird ein unbegleiteter Minderjähriger in allen Verfahren der Dublin-III-VO von einem Vertreter vertreten und unterstützt. Um das Verfahren zur Bestimmung des zuständigen Mitgliedstaates zu erleichtern, führen die Behörden ein persönliches Gespräch mit der asylsuchenden Person (Art. 5 Abs. 1 Dublin-III-VO). In einem Dublin-Verfahren informiert das SEM grundsätzlich vor der Erhebung des rechtserheblichen Sachverhalts beziehungsweise vor der Befragung - als entscheidrelevanter Verfahrensschritt - die zuständigen kantonalen Behörden über die Anwesenheit einer unbegleiteten minderjährigen asylsuchenden Person, um die unverzügliche Bestimmung einer Vertrauensperson nach Art. 17 Abs. 3 Bst. b AsylG und die Befragung zum rechtserheblichen Sachverhalt in deren Anwesenheit zu gewährleisten (vgl. BVGE 2011/23 E. 7). Nach den Entscheidungen und Mitteilungen der Schweizerischen Asylrekurskommission [EMARK] 2004 Nr. 30 ist es im ordentlichen Asyl- und Wegweisungsverfahren jedoch zulässig, vor der einlässlichen Anhörung zu den Asylgründen - ohne Beiordnung einer Vertrauensperson - vorfrageweise über die Frage der Glaubhaftigkeit einer geltend gemachten Minderjährigkeit zu befinden, wenn Zweifel an den Altersangaben der asylsuchenden Person bestehen. Diese Regel lässt sich in dem Sinne auch auf ein Dublin-Verfahren anwenden, indem vorfrageweise die Glaubhaftigkeit der Altersangabe überprüft wird und - falls Zweifel über die Minderjährigkeit bestehen - eine summarische Befragung ohne eine Vertrauensperson stattfindet. Folglich ist zu prüfen, ob nach der Gesuchseinreichung beziehungsweise während den Vorbereitungen zur summarischen Befragung das SEM von einer möglichen Volljährigkeit des Beschwerdeführers ausgehen und damit auf einen Beizug einer Vertrauensperson verzichten durfte.</w:t>
      </w:r>
    </w:p>
    <w:p>
      <w:r>
        <w:rPr>
          <w:b/>
        </w:rPr>
        <w:t>E. 3.3</w:t>
      </w:r>
    </w:p>
    <w:p>
      <w:r>
        <w:t>Grundsätzlich trägt die asylsuchende Person die Beweislast für die von ihr behauptete Minderjährigkeit (vgl. EMARK 2004 Nr. 30 E. 5.2). Im Rahmen einer Gesamtwürdigung ist eine Abwägung sämtlicher Anhaltspunkte, welche für oder gegen die Richtigkeit der betreffenden Altersangaben sprechen, vorzunehmen (vgl. EMARK 2004 Nr. 30 E. 5.3.4). Vor der summarischen Befragung gab der Beschwerdeführer auf dem Personalienblatt als Geburtsdatum den (...) beziehungsweise (...) - je nach Datumsformat - an (A2). Doch egal welches Format er anwenden wollte, aus diesen Angaben lässt sich schliessen, dass er das Jahr (...) als sein Geburtsjahr betrachtete. Jedoch hatte er keine Identitätspapiere bei sich. Eine radiologische Untersuchung ergab einen Befund des Skelettalters von 19 Jahre oder mehr (statt der angegebenen 15 Jahre und 2 Monate, A10). Zwar lassen die Ergebnisse einer radiologischen Untersuchung keine sicheren Schlüsse auf die Voll- oder Minderjährigkeit zu und weisen generell nur einen beschränkten Aussagewert zur Bestimmung des tatsächlichen Alters auf (vgl. EMARK 2000 Nr. 19 E. 7a; 2004 Nr. 30 E. 6.2). Die Differenz zwischen dem vom Beschwerdeführer behaupteten Geburtsdatum und dem festgestellten Skelettalter beträgt jedoch fast vier Jahre. Damit liegt seine Altersangabe ausserhalb der Bandbreite von drei Jahren des mit dem Resultat der Knochenaltersanalyse vom 28. April 2016 vereinbaren Skelettalters (vgl. EMARK 2000 Nr. 19 E. 7; 2001 Nr. 23 E. 4). Folglich bestanden im Zeitpunkt vor der Befragung des Beschwerdeführers bereits gewisse Zweifel an der vorgebrachten Minderjährigkeit, für welche wie erwähnt der Beschwerdeführer die Beweislast trägt (vgl. EMARK 2004 Nr. 30 E. 5.2). Nach dem Gesagten ist kein Verfahrensfehler des SEM erkennbar. Die auf Beschwerdestufe eingereichten Kopien von Fotos des Beschwerdeführers vermögen diese Erwägung nicht umzustürzen.</w:t>
      </w:r>
    </w:p>
    <w:p>
      <w:r>
        <w:rPr>
          <w:b/>
        </w:rPr>
        <w:t>E. 3.4</w:t>
      </w:r>
    </w:p>
    <w:p>
      <w:r>
        <w:t>Bezüglich der Frage der Minderjährigkeit gab der Beschwerdeführer anlässlich der Befragung vom 17. Mai 2016 des Weiteren als Geburtsdatum den (...) an. Dieses Datum habe ihm seine Mutter im Jahr 2009 - als er zwölf Jahre alt gewesen sei - angegeben. Angesprochen auf den Widerspruch vermochte er sich zu erinnern, dass sie ihm dies im Jahr 2011 erzählt habe, als er dreizehn Jahre alt gewesen sei (A11 S. 3). Diese Angaben widersprechen sich deutlich. Bezüglich der auf Beschwerdestufe eingereichten Kopie der Geburtsbestätigung gilt indes zu erwähnen, dass dieser nur ein geringer Beweiswert zukommt. Ferner wurde in der Beschwerdeschrift erwähnt, dass die Herausgabe dieses Dokuments vom Onkel des Beschwerdeführers veranlasst worden sei. Aus den Aussagen des Beschwerdeführers lässt sich schliessen, dass er am Ausstellungstag des Dokuments ([...] 2014) sich noch in Kismayo aufgehalten hat. Aus welchen Gründen ein Onkel aus einem weit entfernten Ort (Region [...]) in Kismayo einen Registerauszug für seinen dort lebenden Neffen ausstellen lassen sollte, bleibt ungeklärt. Auch überzeugt der Hinweis, der Beschwerdeführer habe während seiner Reise schlechte Erfahrungen gemacht, mit welchen er nicht umgehen könne, weshalb er - mangels Konzentration - Daten verwechsle, nicht, um zur Klärung seines wahren Geburtsdatums beizutragen. Nach dem Gesagten konnte der Beschwerdeführer seine Altersangaben beziehungsweise Minderjährigkeit nicht glaubhaft machen, weshalb von der Volljährigkeit des Beschwerdeführers auszugehen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 wie das vorliegende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2014, K4 zu Art. 7).</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Art. 22 und Art.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w:t>
      </w:r>
    </w:p>
    <w:p>
      <w:r>
        <w:rPr>
          <w:b/>
        </w:rPr>
        <w:t>E. 5.1</w:t>
      </w:r>
    </w:p>
    <w:p>
      <w:r>
        <w:t>Hinsichtlich der Zuständigkeitsfrage lässt sich Folgendes sagen: Art. 8 Dublin-III-VO (Minderjährige) wird vorliegend nicht angewendet, da von der Volljährigkeit des Beschwerdeführers ausgegangen wird (vgl. E. 3). Den vorliegenden Akten ist ferner zu entnehmen, dass sich der Beschwerdeführer vor seiner Einreise in die Schweiz in Italien aufgehalten hatte. Anlässlich seiner Befragung vom 17. Mai 2016 führte er aus, er habe am (...) 2015 sein Heimatland verlassen und sei über verschiedene afrikanische Länder nach Libyen gelangt, von wo aus er am (...) 2016 nach Catania (Sizilien) gestartet sei. In Italien habe er weder ein Asylgesuch eingereicht noch sei er daktyloskopiert worden. Nach drei Tagen sei er mit dem Zug in die Schweiz gereist (A11 S. 8). Gemäss Eurodac-Eintrag wurde der Beschwerdeführer am 31. März 2016 in Siracusa (Sizilien) daktyloskopisch erfasst (A6). Das SEM ersuchte die italienischen Behörden am 25. Mai 2016 um Aufnahme des Beschwerdeführers gestützt auf Art. 13 Abs. 1 Dublin-III-VO (Einreise und/oder Aufenthalt). Die italienischen Behörden liessen das Übernahmeersuchen innert der in Art. 22 Abs. 1 Dublin-III-VO vorgesehenen Frist unbeantwortet, womit sie die Zuständigkeit Italiens implizit anerkannten (Art. 22 Abs. 7 Dublin-III-VO). Die grundsätzliche Zuständigkeit Italiens ist somit gegeben, die denn über die implizite Anrufung von Art. 8 Dublin-III-VO hinaus auch nicht bestritten wurde.</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5.2.1</w:t>
      </w:r>
    </w:p>
    <w:p>
      <w:r>
        <w:t>Italien ist Signatarstaat der Europäischen Menschenrechtskonvention (EMRK), des Übereinkommens vom 10. Dezember 1984 gegen Folter und andere grausame, unmenschliche oder erniedrigende Behandlung oder Strafe (FoK) und des Abkommens vom 28. Juli 1951 über die Rechtsstellung der Flüchtlinge (FK) sowie des Zusatzprotokolls der FK vom 31. Januar 1967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Auch der Europäische Gerichtshof für Menschenrechte (EGMR) hat bezüglich Italien keine systemischen Mängel festgestellt. Die Lage in Italien sei nicht mit derjenigen von Griechenland (vgl. Urteil des EGMR M.S.S. gegen Belgien und Griechenland vom 21. Januar 2011, Nr. 30696/09, Grosse Kammer) vergleichbar (vgl. Urteil des EGMR Tarakhel gegen Schweiz vom 4. November 2014, Nr. 29217/12, Grosse Kammer, §§ 114 f. und 120).</w:t>
      </w:r>
    </w:p>
    <w:p>
      <w:r>
        <w:rPr>
          <w:b/>
        </w:rPr>
        <w:t>E. 5.2.3</w:t>
      </w:r>
    </w:p>
    <w:p>
      <w:r>
        <w:t>Unter diesen Umständen ist die Anwendung von Art. 3 Abs. 2 Dublin-III-VO nicht gerechtfertigt.</w:t>
      </w:r>
    </w:p>
    <w:p>
      <w:r>
        <w:rPr>
          <w:b/>
        </w:rPr>
        <w:t>E. 5.3</w:t>
      </w:r>
    </w:p>
    <w:p>
      <w:r>
        <w:t>Der Beschwerdeführer fordert mit seinem Vorbringen die Anwendung der Ermessensklausel von Art. 17 Abs. 1 Dublin-III-VO, respektive der - das Selbsteintrittsrecht im Landesrecht konkretisierenden - Bestimmung von Art. 29a Abs. 3 der Asylverordnung 1 vom 11. August 1999 (AsylV 1), gemäss welcher das SEM das Asylgesuch "aus humanitären Gründen" auch dann behandeln kann, wenn dafür gemäss Dublin-III-VO ein anderer Staat zuständig wäre.</w:t>
      </w:r>
    </w:p>
    <w:p>
      <w:r>
        <w:rPr>
          <w:b/>
        </w:rPr>
        <w:t>E. 5.3.1</w:t>
      </w:r>
    </w:p>
    <w:p>
      <w:r>
        <w:t>Nach Art. 17 Abs. 1 Dublin-III-VO kann die Schweiz ein Asylgesuch materiell überprüfen, auch wenn nach der in der Dublin-III-VO vorgesehenen Kriterien ein anderer Staat zuständig wäre (Selbsteintrittsrecht). Diese Bestimmung kann nur in Verbindung mit einer anderen Norm des internationalen oder nationalen Rechts angerufen werden (vgl. BVGE 2010/45 E. 5). Droht ein Verstoss gegen übergeordnetes Recht, zum Beispiel gegen eine Norm des Völkerrechts, so besteht ein einklagbarer Anspruch auf Ausübung des Selbsteintrittsrechts. Die ins nationale Recht aufgenommene Norm Art. 29a Abs. 3 AsylV 1 sieht vor, dass das SEM aus "humanitären Gründen" ein Gesuch behandeln kann. Es handelt sich hierbei um eine Kann-Bestimmung, die den Behörden einen gewissen Ermessensspielraum lässt und restriktiv auszulegen ist (vgl. BVGE 2010/45 E. 8.2.2 und 2011/9 E. 8.1 f.).</w:t>
      </w:r>
    </w:p>
    <w:p>
      <w:r>
        <w:rPr>
          <w:b/>
        </w:rPr>
        <w:t>E. 5.3.2</w:t>
      </w:r>
    </w:p>
    <w:p>
      <w:r>
        <w:t>In der Beschwerdeschrift vom 11. August 2016 wurde die angebliche Verletzung einer internationalen Norm nicht weiter begründet. Auch handelt es sich beim Beschwerdeführer um einen gesunden jungen Mann (A11 S. 11). Aufgetretene Herzprobleme wurden medizinisch behandelt; eine kardiologische Nachkontrolle wurde jedoch nicht angeordnet (A17). Zusammenfassend ist festzustellen, dass in diesem Sinne keine Gefährdung nach Art. 3 EMRK oder einer anderen völkerrechtlichen Norm vorliegt.</w:t>
      </w:r>
    </w:p>
    <w:p>
      <w:r>
        <w:rPr>
          <w:b/>
        </w:rPr>
        <w:t>E. 5.4</w:t>
      </w:r>
    </w:p>
    <w:p>
      <w:r>
        <w:t>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5.5</w:t>
      </w:r>
    </w:p>
    <w:p>
      <w:r>
        <w:t>Soweit der Beschwerdeführer sinngemäss das Vorliegen von "humanitären Gründen" geltend macht, ist Folgendes festzuhalten:</w:t>
      </w:r>
    </w:p>
    <w:p>
      <w:r>
        <w:rPr>
          <w:b/>
        </w:rPr>
        <w:t>E. 5.5.1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5.5.2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6.1</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6.2</w:t>
      </w:r>
    </w:p>
    <w:p>
      <w:r>
        <w:t>Da das Fehlen von Überstellungshindernissen bereits Voraussetzung des Nichteintretensentscheides gemäss Art. 31a Abs. 1 Bst. b AsylG ist, sind allfällige Vollzugshindernisse gemäss Art. 83 Abs. 3 und Abs. 4 AuG unter diesen Umständen nicht mehr zu prüfen (vgl. BVGE 2015/18 E. 5.2 m.w.H.).</w:t>
      </w:r>
    </w:p>
    <w:p>
      <w:r>
        <w:rPr>
          <w:b/>
        </w:rPr>
        <w:t>E. 6.3</w:t>
      </w:r>
    </w:p>
    <w:p>
      <w:r>
        <w:t>Nach dem Gesagten ist die Beschwerde abzuweisen und die Verfügung des SEM zu bestätigen. Mit vorliegendem Urteil ist der Antrag auf aufschiebende Wirkung der Beschwerde (Art. 107a AsylG) gegenstandslos geworden.</w:t>
      </w:r>
    </w:p>
    <w:p>
      <w:r>
        <w:rPr>
          <w:b/>
        </w:rPr>
        <w:t>E. 7.1</w:t>
      </w:r>
    </w:p>
    <w:p>
      <w:r>
        <w:t>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Bei diesem Ausgang des Verfahrens sind die Kosten dem Beschwerdeführer aufzuerlegen (Art. 63 Abs. 1 VwVG) und auf insgesamt Fr. 600.- festzusetzen (Art. 1-3 VGKE). Mit dem Entscheid in der Hauptsache ist das Gesuch um Verzicht auf die Erhebung eines Kostenvorschusses gegenstandslos geworden.</w:t>
      </w:r>
    </w:p>
    <w:p>
      <w:r>
        <w:rPr>
          <w:b/>
        </w:rPr>
        <w:t>E. 7.2</w:t>
      </w:r>
    </w:p>
    <w:p>
      <w:r>
        <w:t>Gemäss Art. 110a Abs. 2 AsylG sind Beschwerden im Rahmen eines Dublin-Verfahrens von der unentgeltlichen Rechtspflege gemäss Art. 110a Abs. 1 AsylG ausgeschlossen.</w:t>
      </w:r>
    </w:p>
    <w:p>
      <w:r>
        <w:rPr>
          <w:b/>
        </w:rPr>
        <w:t>E. 7.3</w:t>
      </w:r>
    </w:p>
    <w:p>
      <w:r>
        <w:t>Gemäss Art. 65 Abs. 2 VwVG wird einer mittellosen Partei, soweit es zur Wahrung ihrer Rechte notwendig ist, in einem nicht aussichtslosen Verfahren eine Anwältin oder ein Anwalt bestellt. Das vorliegende Verfahren ist - wie bereits erwähnt - als aussichtslos zu betrachten,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