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E-4907/2023 vom 10. August 2023</w:t>
      </w:r>
    </w:p>
    <w:p>
      <w:r>
        <w:t>Bundesverwaltungsgericht, 2023-08-10, DE</w:t>
      </w:r>
    </w:p>
    <w:p>
      <w:r>
        <w:rPr>
          <w:b/>
        </w:rPr>
        <w:t xml:space="preserve">Quelle: </w:t>
      </w:r>
      <w:r>
        <w:t>https://mcp.opencaselaw.ch/entscheid/bvger_E-4907_2023_d20230810</w:t>
      </w:r>
    </w:p>
    <w:p>
      <w:r>
        <w:t>FR: TAF E-4907/2023 du 10 août 2023</w:t>
      </w:r>
    </w:p>
    <w:p>
      <w:r>
        <w:t>IT: TAF E-4907/2023 del 10 agosto 2023</w:t>
      </w:r>
    </w:p>
    <w:p>
      <w:pPr>
        <w:pStyle w:val="Heading2"/>
      </w:pPr>
      <w:r>
        <w:t>Regeste</w:t>
      </w:r>
    </w:p>
    <w:p>
      <w:r>
        <w:t>Asyl und Wegweisung | Asyl und Wegweisung; Verfügung des SEM vom 10. August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in formeller Hinsicht gerügt, die Vorinstanz habe den Sachverhalt insgesamt ungenügend festgestellt und dabei will- kürlich gehandelt. Sie habe die festgestellten Widersprüche und Ungenau- igkeiten jeweils zu Ungunsten des Beschwerdeführers ausgelegt, was ein grober Missbrauch ihres Ermessens sei. Diese formelle Rüge ist vorab zu beurteilen.</w:t>
      </w:r>
    </w:p>
    <w:p>
      <w:r>
        <w:rPr>
          <w:b/>
        </w:rPr>
        <w:t>E. 3.2</w:t>
      </w:r>
    </w:p>
    <w:p>
      <w:r>
        <w:t>Gemäss Lehre und Rechtsprechung liegt Willkür nicht schon dann vor, wenn eine andere Lösung in Betracht zu ziehen oder 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BGE 133 I 149 E. 3.1, m.w.H.; JÖRG PAUL MÜLLER/MARKUS SCHEFER, Grundrechte in der Schweiz, 4. Aufl. 2008, S. 11; BGE 133 I 149 E. 3.1 m.w.H.). Für eine will- kürliche Feststellung des Sachverhalts finden sich vorliegend keine An- haltspunkte. Zudem wird in der Beschwerde die Frage der Feststellung des rechtserheblichen Sachverhalts mit der Frage der rechtlichen Würdigung vermengt, wenn moniert wird, die Vorinstanz habe die Vorbringen des</w:t>
      </w:r>
    </w:p>
    <w:p>
      <w:r>
        <w:t>E-4907/2023 Seite 6 Beschwerdeführers fälschlicherweise als unglaubhaft bewertet. Es handelt sich dabei um eine materielle Frage, welche im Folgenden zu behandeln sein wird.</w:t>
      </w:r>
    </w:p>
    <w:p>
      <w:r>
        <w:rPr>
          <w:b/>
        </w:rPr>
        <w:t>E. 3.3</w:t>
      </w:r>
    </w:p>
    <w:p>
      <w:r>
        <w:t>Die formelle Rüge erweist sich demnach als unbegründet, weshalb keine Veranlassung besteht, die angefochtene Verfügung aus diesem Grund aufzuheben und die Sache an das SEM zurückzuweisen.</w:t>
      </w:r>
    </w:p>
    <w:p>
      <w:r>
        <w:rPr>
          <w:b/>
        </w:rPr>
        <w:t>E. 4.1</w:t>
      </w:r>
    </w:p>
    <w:p>
      <w:r>
        <w:t>Die Vorinstanz führt in ihrer Verfügung im Wesentlichen aus, der Be- schwerdeführer habe seine Tätigkeiten für die CHP anlässlich der Wahlen von (…) und (…) nur sehr rudimentär geschildert. Er habe lediglich ange- geben, er sei Koordinator der Wahlen gewesen und habe die Koordination zusammen mit dem Bürgermeisterkandidaten durchgeführt. Weitere Anga- ben zu seinen politischen Tätigkeiten habe er keine gemacht. Eine detail- lierte Schilderung seiner Arbeit als Koordinator sei er trotz mehrmaliger Nachfrage schuldig geblieben. Zudem würden seine Vorbringen bezüglich seiner politischen Tätigkeiten auch Widersprüche aufweisen. So habe er bei der ersten Anhörung erklärt, er habe die CHP sowohl bei den Wahlen im Jahr (…) als auch im Jahr (…) unterstützt. Im Gegensatz dazu habe er anlässlich der ergänzenden Anhörung geltend gemacht, nur im Jahr (…) Koordinator bei den Bürgermeisterwahlen gewesen zu sein. Aufgrund der unsubstanziierten und widersprüchlichen Angaben könnten seine Tätigkei- ten für die CHP daher nicht geglaubt werden. Darüber hinaus müssten auch die Aussagen des Beschwerdeführers zu den angeblichen Drohungen und Anschlägen, welche auf ihn verübt wor- den seien, als unglaubhaft erachtet werden. Dass er immer wieder Drohungen erhalten habe, habe er erstmals anlässlich der ergänzenden Anhörung geltend gemacht. Dies sei nicht nachvollziehbar, zumal es sich dabei um ein zentrales Vorbringen handle. Es müsse vielmehr davon aus- gegangen werden, dass er mit der Erwähnung von Drohungen seine Vor- bringen habe gewichtiger erscheinen lassen wollen. Ferner würden seine Aussagen betreffend die Anschläge einen undifferenzierten Eindruck hin- terlassen und jegliche inhaltlichen Besonderheiten vermissen lassen. So würden beispielsweise individualisierte Aussagen, welche seine persönli- che Betroffenheit oder ein persönlich gefärbtes Reaktionsmuster zum Aus- druck bringen würden, fehlen. Auf Nachfrage zu den Anschlägen habe er sich zudem in Widersprüche verstrickt. Anlässlich der Anhörungen habe er die beiden Vorfälle genau umgekehrt geschildert, wobei er auf die entspre- chende Nachfrage nicht eingegangen sei, sondern plötzlich behauptet</w:t>
      </w:r>
    </w:p>
    <w:p>
      <w:r>
        <w:t>E-4907/2023 Seite 7 habe, es sei auch beim zweiten Anschlag auf ihn geschossen worden. Wa- rum er diesen Schuss anfangs nicht erwähnt habe, habe er nicht erklären können. Das SEM stelle aufgrund dessen fest, dass der Beschwerdeführer die Qualität seiner Aussagen auch ohne Erlebnishintergrund hätte realisie- ren können. Letztlich müsse davon ausgegangen werden, dass es sich um einen konstruierten Sachverhalt handle. Gemäss den eingereichten medi- zinischen Unterlagen habe er zwar tatsächlich Schussverletzungen erlit- ten, diese könnten ihm jedoch auch in einem anderen Zusammenhang zu- gefügt worden sein. Zudem habe er geltend gemacht, die beiden An- schläge seien in den Jahren (…) und (…) erfolgt. Die von seinem türki- schen Anwalt eingereichte Anzeige sei jedoch gemäss eingereichter Emp- fangsbestätigung am (…) bei der Staatsanwaltschaft registriert worden. Es sei nicht ersichtlich, warum der Anwalt so lange zugewartet haben solle. Auffallend sei, dass der Beschwerdeführer zum Zeitpunkt der Einreichung der Anzeige die Türkei bereits verlassen hatte, weshalb der Verdacht auf- komme, die Anzeige sei im Hinblick auf das Asylgesuch in der Schweiz eingereicht worden. Im Übrigen könnten solche Schreiben keiner materiel- len Überprüfung unterzogen werden und seien kein Beleg dafür, dass sich die darin aufgeführten Vorkommnisse auch tatsächlich ereignet hätten. Ausserdem habe der Beschwerdeführer keinerlei Presseauszüge betref- fend die angeblich gegen ihn gemachten Anschuldigungen eingereicht. Bei den eingereichten Beweismitteln handle es sich vielmehr um Kopien von Nachrichten, welche in den sozialen Medien veröffentlicht worden seien. Aus diesen könne sodann nicht geschlossen werden, die türkischen Be- hörden würden hinter den geltend gemachten Anschuldigungen stehen. Gemäss Schreiben des Staatsanwalts habe nicht ermittelt werden können, wer sich hinter diesem Account verberge. Zudem sei ersichtlich, dass seine Anzeige aufgenommen worden sei und entsprechende Untersuchungen durchgeführt worden seien. Somit treffe die Behauptung, die Anzeige sei von den Behörden nicht bearbeitet worden, nicht zu. Hätten die türkischen Behörden den Beschwerdeführer tatsächlich verdächtigt, ein Mitglied der PKK oder der DHKP-C zu sein, sei sodann davon auszugehen, dass ein strafrechtliches Verfahren gegen ihn eingeleitet worden wäre. Beim als Be- weismittel eingereichten Artikel der Zeitung E._______ vom (…) 2022 handle es sich ferner um einen Artikel über die DHKP-C, welche in B._______ in Verbindung mit der Partei CHP stehe. Der Beschwerdeführer werde in diesem Artikel jedoch nicht persönlich erwähnt und könne daraus nichts zu seinen Gunsten ableiten. Schliesslich sei auch das Schreiben seines türkischen Anwalts vom (…) 2022 nicht geeignet, das Gesagte zu entkräftigen, zumal die Angaben im Schreiben teilweise nicht mit dem</w:t>
      </w:r>
    </w:p>
    <w:p>
      <w:r>
        <w:t>E-4907/2023 Seite 8 Vorbringen des Beschwerdeführers übereinstimmen würden. So habe der Anwalt festgehalten, dass der ältere Bruder des Beschwerdeführers mit ihm zusammen angeschossen worden sei, während dieser bei der ergän- zenden Anhörung erklärt habe, dass es sich um einen jüngeren Kollegen gehandelt habe, den er jedoch Bruder nenne. Zudem habe der Anwalt in seinem Schreiben ausgeführt, der Beschwerdeführer sei Mitglied der HDP, während dieser angegeben habe, Staatsbedienstete könnten nicht Partei- mitglieder sein. Auf den Widerspruch angesprochen habe der Beschwer- deführer erst nach mehrmaliger Nachfrage angegeben, der Anwalt würde viele Leute der HDP vertreten, womit er die Ungereimtheiten im Schreiben jedoch nicht zu erklären vermocht habe. Zusammenfassend würden die Vorbringen des Beschwerdeführers weder den Anforderungen an die Flüchtlingseigenschaft gemäss Art. 3 AsylG noch den Anforderungen an die Glaubhaftigkeit gemäss Art. 7 AsylG stand- halten.</w:t>
      </w:r>
    </w:p>
    <w:p>
      <w:r>
        <w:rPr>
          <w:b/>
        </w:rPr>
        <w:t>E. 4.2</w:t>
      </w:r>
    </w:p>
    <w:p>
      <w:r>
        <w:t>In der Rechtsmitteleingabe wird dagegen im Wesentlichen eingewen- det, die Vorinstanz begründe ihren negativen Asylentscheid mit angeblich unsubstanziierter, undifferenzierten, teilweise widersprüchlichen und des- halb nicht glaubwürdigen Aussagen des Beschwerdeführers. Dabei sei festzustellen, dass – auch geringfügige – Ungenauigkeiten zwischen den einzelnen Befragungen stets zu seinen Ungunsten ausgelegt worden seien und damit seine Glaubwürdigkeit in Zweifel gezogen worden sei. Die Vor- instanz verkenne dadurch, dass Asylbewerber bei Befragungen naturge- mäss und gerichtsnotorisch oft traumatisiert, angespannt und zu wenig konzentriert seien. Ausserdem könnten sich auch durch die Übersetzung semantische Ungenauigkeiten ergeben. Vorhandene Widersprüche und Ungenauigkeiten in den Aussagen des Beschwerdeführers würden sich im Bereich des nach der allgemeinen Lebenserfahrung Üblichen bewegen. So sei es beispielsweise nachvollziehbar, dass der Beschwerdeführer anläss- lich der ergänzenden Anhörung seine politischen Tätigkeiten zu Gunsten der CHP im Jahr (…) nicht nochmals erwähnt habe, weil diese Aktivitäten bereits aktenkundig gewesen seien. Dem Beschwerdeführer drohe in der Türkei somit die Verhaftung und eine Haftstrafe, möglicherweise Folter so- wie eine unmenschliche Behandlung, nicht zuletzt, weil er kurdischer Eth- nie sei. Es sei hinlänglich bekannt und gerichtsnotorisch, dass die Minder- heit der Kurden in der Türkei seit längerer Zeit zahlreichen Benachteiligun- gen seitens des Staates ausgesetzt sei. Die vorliegenden Fakten – insbe- sondere die erlittenen und dokumentierten Schussverletzungen – würden belegen oder zumindest aufgrund der allgemeinen Lebenserfahrung</w:t>
      </w:r>
    </w:p>
    <w:p>
      <w:r>
        <w:t>E-4907/2023 Seite 9 glaubhaft machen, dass der Beschwerdeführer bei seiner Rückkehr in die Türkei wegen seiner regimekritischen politischen Aktionen in seiner Frei- heit und seiner körperlichen Integrität gefährdet wäre.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Das SEM hat mit zutreffender Begründung festgestellt, dass der Be- schwerdeführer die Drohungen und die daraufhin angeblich gegen ihn durchgeführten Anschläge angesichts der teilweisen ungereimten und we- nig detaillierten Angaben nicht glaubhaft machen konnte. Diese weisen kaum Realkennzeichen auf (so insbesondere freies assoziatives Erzählen oder inhaltliche Besonderheiten), sodass sie auch von einem unbeteiligten Dritten nacherzählt werden könnten. Die Auffassung der Vorinstanz, wo- nach die Ausführungen nicht den Eindruck von Selbsterlebtem vermitteln und konstruiert wirken, ist daher zu bestätigen. Gänzlich unplausibel erwei- sen sich sodann die Schilderungen des Beschwerdeführers zum Verhalten der Angreifer anlässlich des zweiten Anschlags im Jahr (…), wonach ihm</w:t>
      </w:r>
    </w:p>
    <w:p>
      <w:r>
        <w:t>E-4907/2023 Seite 10 diese nach Zufügung von Schussverletzungen eine Waffe in die Hand ge- drückt und ihn aufgefordert hätten, nach Hause zu gehen, wo er die Polizei hätte anrufen und dieser mitteilen sollen, er habe sich selbst angeschos- sen. Bei der Durchsicht der Akten fällt ferner auf, dass der Beschwerdefüh- rer die angeblich von den türkischen Behörden ausgehenden Drohungen erstmals anlässlich der ergänzenden Anhörung erwähnte. Dies ist in Über- einstimmung mit den Ausführungen der Vorinstanz nicht nachvollziehbar, zumal es sich dabei um ein zentrales Vorbringen handelt. Schliesslich ist ebenfalls unklar, weshalb sein türkischer Rechtsanwalt gemäss der einge- reichten Registrierungsbestätigung der Staatsanwaltschaft C._______ die beiden angeblichen Anschläge der Jahre (…) und (…) erst im Jahr (…), als der Beschwerdeführer sich bereits in der Schweiz befand, zur Anzeige brachte. Diese Ungereimtheiten bewegen sich nicht im Bereich des nach der allgemeinen Lebenserfahrung Üblichen und konnten auch auf Be- schwerdeebene nicht ausgeräumt werden, zumal sich die Beschwerde- schrift im Wesentlichen darin erschöpft, in pauschaler Weise Kritik an der Glaubhaftigkeitsprüfung des SEM zu üben, ohne sich in substanziierter und detaillierter Weise mit den Erwägungen in der angefochtenen Verfü- gung auseinanderzusetzen. Es ist denn auch nicht ersichtlich, inwiefern die Ungereimtheiten auf mangelnde Konzentration des Beschwerdeführers oder Übersetzungsprobleme zurückzuführen sein sollen, zumal dem Anhö- rungsprotokoll keinerlei entsprechende Hinweise zu entnehmen sind. Der Beschwerdeführer hat denn auch die Richtigkeit des Protokolls mit seiner Unterschrift bestätigt, worauf er sich behaften lassen muss. Unberechtigt ist allerdings der Vorwurf der Vorinstanz, der Beschwerdefüh- rer habe sich widersprochen, indem er einerseits seinen älteren Bruder und andererseits einen jüngeren Kollegen erwähnt habe. Er gab stets an, sein älterer Bruder sei bei dem gegen ihn gerichteten Anschlag verletzt worden. Die Erwähnung des jüngeren Kollegen bezog sich auf einen separaten Sachverhalt, bei dem dieser Drohnachrichten erhielt und festgenommen wurde (vgl. SEM-act. 28 F81). Diese fehlerhafte Würdigung ändert jedoch nichts an der insgesamt korrekt durchgeführten Glaubhaftigkeitsprüfung und vermag den Eindruck der fehlenden Glaubhaftigkeit seiner Schilderun- gen nicht zu entkräften. Die vom Beschwerdeführer geltend gemachten und mit Arztbericht vom (…) dokumentierten Schussverletzungen sind fer- ner ebenfalls nicht geeignet, eine asylrelevante Verfolgung zu belegen. Die medizinischen Unterlagen belegen lediglich die erlittenen Verletzungen des Beschwerdeführers, nicht aber den von ihm geschilderten Hergang der Ereignisse. Schliesslich kommt das Bundesverwaltungsgericht angesichts der vorliegenden Umstände zur Erkenntnis, dass es sich beim Schreiben</w:t>
      </w:r>
    </w:p>
    <w:p>
      <w:r>
        <w:t>E-4907/2023 Seite 11 des türkischen Anwalts um ein reines Gefälligkeitsschreiben ohne Beweis- wert handelt. Das Schreiben gibt lediglich die Vorbringen des Beschwerde- führers wieder und vermag nichts an der Einschätzung der Vorinstanz zu ändern, zumal der Beschwerdeführer den nicht zutreffenden Hinweis des Rechtsanwalts, er sei Mitglied der HDP, nicht plausibel erklären konnte.</w:t>
      </w:r>
    </w:p>
    <w:p>
      <w:r>
        <w:rPr>
          <w:b/>
        </w:rPr>
        <w:t>E. 6.3</w:t>
      </w:r>
    </w:p>
    <w:p>
      <w:r>
        <w:t>Sodann vermögen auch die vom Beschwerdeführer eingereichten Ko- pien von Beiträgen in den sozialen Medien, in denen er beschuldigt wird, die PKK zu unterstützen, kein Verfolgungsinteresse der türkischen Behör- den an ihm zu begründen. Dass diese von den türkischen Behörden stam- men ist lediglich eine subjektive Befürchtung des Beschwerdeführers, für welche keinerlei objektive Anhaltspunkte bestehen. So wurde im Schreiben der Staatsanwaltschaft C._______ vom (…) 2020 denn auch festgehalten, es habe nicht ermittelt werden können, wer sich hinter dem Account ver- berge. Es wäre sodann in Übereinstimmung mit den Ausführungen der Vo- rinstanz davon auszugehen, dass die Behörden, sollten sie den Beschwer- deführer tatsächlich verdächtigen, ein Mitglied der PKK oder der DHKP-C zu sein, ein strafrechtliches Verfahren gegen ihn einleiten würden.</w:t>
      </w:r>
    </w:p>
    <w:p>
      <w:r>
        <w:rPr>
          <w:b/>
        </w:rPr>
        <w:t>E. 6.4</w:t>
      </w:r>
    </w:p>
    <w:p>
      <w:r>
        <w:t>Bezüglich der vom Beschwerdeführer geltend gemachten Benachteili- gungen und Schikanen ist festzuhalten, dass für die Annahme einer Kol- lektivverfolgung strenge Anforderungen gelten (vgl. BVGE 2014/32 E. 6.1; 2013/12 E. 6), die im Falle der Kurden und Kurdinnen in der Türkei nicht erfüllt sind, was auch unter Berücksichtigung der aktuellen politischen Ent- wicklungen gilt (vgl. Urteil des BVGer E-3794/2024 vom 23. September 2024 E. 7.6.2 m.w.H.). Die Benachteiligungen, denen Angehörige der kur- dischen Bevölkerung in der Türkei allgemein ausgesetzt sind, sind keines- falls zu verharmlosen. Praxisgemäss führen sie aber nicht zur Anerken- nung der Flüchtlingseigenschaft, da die Schwelle der Asylrelevanz im Sinne von Art. 3 AsylG in der Regel nicht erreicht ist (vgl. Referenzurteil des BVGer E-4103/2024 vom 8. November 2024 E. 7.1).</w:t>
      </w:r>
    </w:p>
    <w:p>
      <w:r>
        <w:rPr>
          <w:b/>
        </w:rPr>
        <w:t>E. 6.5</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7</w:t>
      </w:r>
    </w:p>
    <w:p>
      <w:r>
        <w:t>Lehnt das SEM das Asylgesuch ab oder tritt es nicht darauf ein, so verfügt es in der Regel die Wegweisung aus der Schweiz und ordnet den Vollzug</w:t>
      </w:r>
    </w:p>
    <w:p>
      <w:r>
        <w:t>E-4907/2023 Seite 12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weist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E-4907/2023 Seite 13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Urteil E-4103/2024 vom 8. November 2024 E. 13.4).</w:t>
      </w:r>
    </w:p>
    <w:p>
      <w:r>
        <w:rPr>
          <w:b/>
        </w:rPr>
        <w:t>E. 8.3.2</w:t>
      </w:r>
    </w:p>
    <w:p>
      <w:r>
        <w:t>Auch in individueller Hinsicht sind keine Gründe ersichtlich, die gegen die Zumutbarkeit des Wegweisungsvollzugs sprechen. Der Beschwerde- führer verfügt in der Türkei über ein Beziehungsnetz und konnte Berufser- fahrung in verschiedenen Bereichen ([…] und […]) sammeln, weshalb da- von auszugehen ist, dass er seinen Lebensunterhalt bei einer Rückkehr in</w:t>
      </w:r>
    </w:p>
    <w:p>
      <w:r>
        <w:t>E-4907/2023 Seite 14 die Türkei selbständig bestreiten können wird. In Bezug auf die vorge- brachten gesundheitlichen Probleme ([…], […]) ist festzuhalten, dass diese nicht für eine medizinische Notlage sprechen, aufgrund welcher von der Unzumutbarkeit des Wegweisungsvollzugs auszugehen wäre. Die Türkei verfügt denn auch grundsätzlich über ein funktionierendes Gesundheits- system, dass insbesondere in grösseren Ständen dem europäischen Stan- dard entspricht (vgl. BVGer D-1554/2022 vom 29. Juli 2022 E. 9.3.4 m.w.H).</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13. Oktober 2023 in gleicher Höhe geleis- tete Kostenvorschuss ist zur Bezahlung der Verfahrenskosten zu verwen- den.</w:t>
      </w:r>
    </w:p>
    <w:p>
      <w:r>
        <w:t>E-4907/2023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