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E-4904/2025 vom 28. Mai 2025</w:t>
      </w:r>
    </w:p>
    <w:p>
      <w:r>
        <w:t>Bundesverwaltungsgericht, 2025-05-28, DE</w:t>
      </w:r>
    </w:p>
    <w:p>
      <w:r>
        <w:rPr>
          <w:b/>
        </w:rPr>
        <w:t xml:space="preserve">Quelle: </w:t>
      </w:r>
      <w:r>
        <w:t>https://mcp.opencaselaw.ch/entscheid/bvger_E-4904_2025_d20250528</w:t>
      </w:r>
    </w:p>
    <w:p>
      <w:r>
        <w:t>FR: TAF E-4904/2025 du 28 mai 2025</w:t>
      </w:r>
    </w:p>
    <w:p>
      <w:r>
        <w:t>IT: TAF E-4904/2025 del 28 maggio 2025</w:t>
      </w:r>
    </w:p>
    <w:p>
      <w:pPr>
        <w:pStyle w:val="Heading2"/>
      </w:pPr>
      <w:r>
        <w:t>Regeste</w:t>
      </w:r>
    </w:p>
    <w:p>
      <w:r>
        <w:t>Asyl und Wegweisung | Asyl und Wegweisung; Verfügung des SEM vom 28. Mai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 führung legitimiert (Art. 48 VwVG). Auf die frist- und formgerecht einge- 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E-4904/2025 Seite 6</w:t>
      </w:r>
    </w:p>
    <w:p>
      <w:r>
        <w:rPr>
          <w:b/>
        </w:rPr>
        <w:t>E. 5.1</w:t>
      </w:r>
    </w:p>
    <w:p>
      <w:r>
        <w:t>Die Vorinstanz begründet ihren Entscheid im Wesentlichen damit, die Vorbringen der Beschwerdeführenden würden den Anforderungen an die Flüchtlingseigenschaft gemäss Art. 3 AsylG nicht standhalten. Was die Drohungen durch den zweiten Ex-Ehemann der Beschwerdefüh- rerin anbelange, seien die türkischen Behörden gemäss gefestigter Praxis des Bundesverwaltungsgerichts fähig und bereit, Frauen vor Angriffen durch private Dritte zu schützen und die staatlichen Stellen seien den Be- troffenen auch zugänglich. Die Türkei habe in den vergangenen Jahren kontinuierliche Schritte zur Verbesserung der rechtlichen und gesellschaft- lichen Situation der Frauen und im Besonderen zu deren Schutz vor Über- griffen mit soziokulturellem Hintergrund unternommen. So gebe es in G._______ denn auch ein Frauenhaus und Familiengerichte, an welche sich Frauen wenden könnten. Der türkische Staat sei im Regelfall gewillt, häusliche Gewalt, Zwangsheiraten und Mehrfachehen zu bekämpfen. Der Schutz gelte unabhängig vom Zivilstand oder der Beziehung zwischen Op- fer und Täter. Die von der Polizei nicht entgegengenommene Anzeige weise auf einen Amtsmissbrauch hin, gegen den die Beschwerdeführerin mit Hilfe eines Anwalts hätte vorgehen können. Ihr breites Beziehungsnetz hätte ihr dabei bei Bedarf Unterstützung bieten können. Sie habe abgese- hen von der erfolglosen Anzeigeerstattung bei der Polizei nicht alles ihr Mögliche und Zumutbare unternommen, um in ihrer Heimat Schutz zu er- halten. Unbesehen der fehlenden Asylrelevanz habe es bezüglich der Ge- waltvorwürfe gegen ihren Ex-Ehemann in ihren Schilderungen sodann er- hebliche Unstimmigkeiten gegeben. Hinsichtlich der fluchtauslösenden Umstände – die Angst vor strafrechtli- chen Konsequenzen in der Türkei wegen ihrer politischen Tätigkeiten – verneinte die Vorinstanz eine objektiv begründete Furcht. Gemäss den ein- gereichten Dokumenten sei gegen die Beschwerdeführerin ein Ermitt- lungsverfahren wegen Terrorpropaganda eröffnet und ein Vorführbe- schluss erlassen worden. Diesbezüglich sei vorab zu bemerken, dass die eingereichten Dokumente keine (verifizierbaren) Sicherheitsmerkmale auf- wiesen und daher einfach zu fälschen seien, wobei mittlerweile öffentlich bekannt und durch die Rechtsprechung des BVGer bestätigt sei, dass Strafverfahrensakten in der Türkei problemlos gegen Entgelt beschafft wer- den könnten. Mithin hätten sie nur einen geringen Beweiswert. Unbesehen der Echtheit dieser Dokumente sei das gegen die Beschwerdeführerin ein- geleitete Strafverfahren gestützt auf das Koordinationsurteil des BVGer E-4103/2024 vom 8. November 2024 flüchtlingsrechtlich jedoch ohnehin</w:t>
      </w:r>
    </w:p>
    <w:p>
      <w:r>
        <w:t>E-4904/2025 Seite 7 nicht relevant. Da sie sich in der Türkei bislang keiner Straftat schuldig ge- macht habe, gelte sie in dieser Hinsicht als unbescholten. Des Weiteren vermittle sie nicht den Eindruck einer politischen Aktivistin, zumal sie weder Mitglied der HDP sei noch sonst eine Funktion innerhalb der Partei inne- gehabt habe. Ferner habe (…) in (…) Asylverfahren angegeben, dass in [der] Familie – ausser (…) – niemand politisch aktiv sei. Vor diesem Hin- tergrund sei nicht mit beachtlicher Wahrscheinlichkeit davon auszugehen, dass sie aus asylbeachtlichen Motiven zu einer unbedingten Freiheitsstrafe verurteilt würde. Sodann sei das Risiko für eine drohende Untersuchungs- haft gering, zumal der eingereichte Vorführbefehl dem Zweck der Einver- nahme diene. Im Übrigen würde die Aktenlage den Eindruck vermitteln, dass die Beschwerdeführerin in der Türkei bewusst ein Strafverfahren ge- gen sich habe einleiten lassen, um einen Schutzstatus in der Schweiz zu erlangen, was den Verdacht auf Rechtsmissbrauch nahelege. Schliesslich habe sie keinen Zusammenhang zwischen ihrem Ersuchen bei den Behör- den um Schutz vor der Gewalt und Bedrohung ihres Ex-Ehemannes und dem gegen sie laufenden Ermittlungsverfahren vorgebracht.</w:t>
      </w:r>
    </w:p>
    <w:p>
      <w:r>
        <w:rPr>
          <w:b/>
        </w:rPr>
        <w:t>E. 5.2</w:t>
      </w:r>
    </w:p>
    <w:p>
      <w:r>
        <w:t>Die Beschwerdeführenden entgegnen in ihrer Rechtsmitteleingabe, die Vorinstanz gehe bezüglich der häuslichen Gewalt zu Unrecht von einem in der Türkei funktionierenden Schutzsystem aus und verkenne die rechtli- chen Anforderungen an die Zumutbarkeit des innerstaatlichen Schutzes. Aufgrund des Analphabetismus der Beschwerdeführerin, der fehlenden Unterstützung, Isolation und psychischen Belastung sei es ihr nicht zuzu- muten, sich an übergeordnete Stellen zu wenden. Sie sei durch die jahre- lange massive Gewalt psychisch schwer belastet und ihre Aussagen seien entsprechend zu würdigen. Weiter relativiere die Vorinstanz zu Unrecht die Beweiskraft der eingereich- ten Dokumente betreffend das gegen die Beschwerdeführerin eingeleitete Ermittlungsverfahren wegen Propaganda für eine Terrororganisation, zu- mal es keine konkreten Hinweise auf Fälschungsmerkmale gebe. Ein for- meller Vorführbeschluss diene in der Praxis oftmals der Inhaftierung, Ein- schüchterung und Kriminalisierung der Betroffenen. Die Einschätzung der Vorinstanz, wonach sie strafrechtlich unbescholten sei, kein relevantes po- litisches Profil aufweise und das gegen sie geführte Strafverfahren nicht relevant sei, sei angesichts der politischen Natur des Verfahrens und des systematischen Missbrauchs des Antiterrorrechts in der Türkei unhaltbar. Sie sei aufgrund ihrer politischen Aktivitäten ins Visier der Strafverfolgungs- behörden geraten. Zudem sei (…) mehrfach festgenommen und ihr Haus wegen (…) durchsucht worden. Als alleinstehende Frau mit fehlender</w:t>
      </w:r>
    </w:p>
    <w:p>
      <w:r>
        <w:t>E-4904/2025 Seite 8 Bildung aus einem politisch sensiblen Gebiet mit dokumentierter Nähe zur HDP sei sie besonders exponiert. Die Vorinstanz impliziere zu Unrecht ein rechtsmissbräuchliches Verhalten und verkenne zudem den politischen Kontext in der Türkei. Für eine politische Verfolgung bedürfe es keiner for- mellen Parteimitgliedschaft.</w:t>
      </w:r>
    </w:p>
    <w:p>
      <w:r>
        <w:rPr>
          <w:b/>
        </w:rPr>
        <w:t>E. 6.1</w:t>
      </w:r>
    </w:p>
    <w:p>
      <w:r>
        <w:t>Das Bundesverwaltungsgericht gelangt nach Prüfung der Akten in Übereinstimmung mit der Vorinstanz zum Schluss, dass die Beschwerde- führenden mit ihren Vorbringen die Flüchtlingseigenschaft gemäss Art. 3 AsylG nicht zu begründen vermögen. Zur Vermeidung von Wiederholun- gen kann auf die zu bestätigenden Erwägungen in der angefochtenen Ver- fügung verwiesen werden. Die Ausführungen in der Beschwerde vermögen diesen nichts Stichhaltiges entgegenzusetzen.</w:t>
      </w:r>
    </w:p>
    <w:p>
      <w:r>
        <w:rPr>
          <w:b/>
        </w:rPr>
        <w:t>E. 6.2</w:t>
      </w:r>
    </w:p>
    <w:p>
      <w:r>
        <w:t>Das Bundesverwaltungsgericht hat in einer gefestigten Praxis die grundsätzliche Schutzbereitschaft und Schutzfähigkeit des türkischen Staates im Umgang mit Opfern häuslicher Gewalt und Zwangsheirat bejaht und geht davon aus, dass insbesondere in den städtischen Gebieten die Infrastruktur des Opferschutzes wesentlich dichter als in ländlichen Regio- nen ist. Obwohl in der letzten Zeit eine Zunahme von Gewalt gegenüber Frauen festgestellt wurde und die Türkei per 1. Juli 2021 aus dem Überein- kommen des Europarats zur Verhütung und Bekämpfung von Gewalt ge- gen Frauen und häuslicher Gewalt vom 11. Mai 2011 (Istanbul-Konvention) ausgetreten ist, bleibt zu beobachten, inwiefern sich dadurch der Schutz der Frauen in negativer Weise verändert. Es ist zu betonen, dass im heuti- gen Zeitpunkt nicht bereits von einem faktischen Wegfall der bisherigen rechtlichen Möglichkeiten zur Schutzinanspruchnahme ausgegangen wer- den kann (vgl. zum Ganzen Referenzurteil des BVGer E-1948/2018 vom 12. Juni 2018 E. 5.2; E-1049/2024 vom 8. April 2024 E. 7.2.1; D-2682/2020 vom 12. Januar 2023 E. 6.2; D-4974/2021 vom 19. Dezember 2022 E. 6.1.3; D-167/2022 vom 30. Mai 2022 E. 6.2; D-4443/2020 vom 26. No- vember 2021 E. 8.1; je m.w.H.). Auch im vorliegenden Fall ist davon auszugehen, dass es der Beschwer- deführerin möglich und zumutbar gewesen wäre und ist, sich mit ihrem Schutzanliegen an die heimatlichen Behörden zu wenden. So ist mit dem SEM davon auszugehen, dass sie nur einmal um polizeilichen Schutz vor den Übergriffen ihres Ex-Ehemannes ersucht und damit nicht alles ihr Mög- liche und Zumutbare unternommen hat, um in der Türkei Schutz zu erhal- ten. Es ist ihr, sollte sie nach ihrer Rückkehr erneut bedroht werden,</w:t>
      </w:r>
    </w:p>
    <w:p>
      <w:r>
        <w:t>E-4904/2025 Seite 9 zuzumuten, einen Anwalt beizuziehen (wie sie dies im gegen sie eingelei- teten Ermittlungsverfahren getan hat), um bei den zuständigen Behörden Anzeige zu erstatten und sich allenfalls an die nächst höhere Instanz zu wenden. Der beschwerdeweise erhobene pauschale Einwand, wonach das Schutzsystem in der Türkei nicht funktioniere, ist nicht stichhaltig und ungeeignet, die Annahme des vorhandenen Schutzwillens und der beste- henden behördlichen Schutzfähigkeit zu widerlegen.</w:t>
      </w:r>
    </w:p>
    <w:p>
      <w:r>
        <w:rPr>
          <w:b/>
        </w:rPr>
        <w:t>E. 6.3</w:t>
      </w:r>
    </w:p>
    <w:p>
      <w:r>
        <w:t>Im Weiteren hat das SEM zutreffend ausgeführt, dass das von der Be- schwerdeführerin vorgebrachte Ermittlungsverfahren wegen Terrorpropa- ganda, einschliesslich des gegen sie erlassenen Vorführbeschlusses, keine flüchtlingsrechtliche Relevanz aufweist, wobei es zu Recht auf das Referenzurteil E-4103/2024 vom 8. November 2024 hingewiesen hat. Un- besehen der Authentizität der von der Beschwerdeführerin eingereichten Dokumente ist zunächst festzuhalten, dass der Vorführbefehl dem Zweck der Einvernahme dient, wobei die Ausstellung solcher Vorführbefehle ge- mäss Rechtsprechung des Bundesverwaltungsgerichts noch kein syste- matisches Risiko einer asylrechtlich relevanten Verfolgung zu begründen vermag (vgl. Urteil des BVGer E-2698/2024 vom 15. April 2025 E. 7.4.2). Gemäss dem Referenzurteil des Bundesverwaltungsgerichts E-4103/2024 vom 8. November 2024 bestehen sodann keine stichhaltigen Gründe für die Annahme, dass Personen, die in der Türkei von Ermittlungsverfahren wegen Terrorpropaganda betroffen sind, im Rahmen der Ermittlungs- und Strafverfahren generell einen Politmalus im absoluten oder relativen Sinn zu befürchten hätten, weshalb sich aus diesem Umstand alleine noch keine begründete Furcht vor mit beachtlicher Wahrscheinlichkeit in absehbarer Zukunft eintretenden Verfolgungsmassnahmen gemäss Art. 3 Abs. 1 und Abs. 2 AsylG ergibt (a.a.O. E. 8.7.3 und E. 8.8). So ist denn auch ungewiss, ob die der Beschwerdeführerin vorgeworfene Handlung seitens der zustän- digen Staatsanwaltschaft tatsächlich als strafrechtlich relevant erachtet und einer Anklage zugeführt wird. Weiter ist offen, ob – falls es in Bezug auf das Verfahren überhaupt zu einer Anklage kommt – das zuständige Gericht eine Anklage als begründet erachten und ein Gerichtsverfahren er- öffnen wird, ob die Beschwerdeführerin verurteilt werden wird und ob eine allfällige Verurteilung von den Rechtsmittelinstanzen bestätigt würde. Indes ist im Einzelfall zu prüfen, ob sich im konkreten Verfahren Hinweise auf einen individuellen Politmalus oder auf Gründe ergeben, die zu einer län- geren Freiheitsstrafe führen könnten, wobei Risikofaktoren insbesondere frühere Verurteilungen sowie ein exponiertes politisches Profil darstellen (vgl. Referenzurteil BVGer E-4103/2024, a.a.O. E. 8.7.4). Gemäss den Ak- ten ist die Beschwerdeführerin strafrechtlich unbescholten und würde bei</w:t>
      </w:r>
    </w:p>
    <w:p>
      <w:r>
        <w:t>E-4904/2025 Seite 10 einer möglichen Strafzumessung als «Ersttäterin» gelten. Sie hinterlässt zudem wie von der Vorinstanz zutreffend ausgeführt, nicht den Eindruck einer politischen Aktivistin und weist kein exponiertes Politprofil auf. Damit ist das Vorliegen einer begründeten Furcht vor künftiger Verfolgung zu ver- neinen. Der Vollständigkeit halber ist darauf hinzuweisen, dass der Vorinstanz da- rin zuzustimmen ist, die vorliegende Aktenlage vermittle den Eindruck, die Beschwerdeführerin habe in der Türkei bewusst ein Strafverfahren gegen sich einleiten lassen. Insbesondere erscheint der sich aus ihren Aussagen und den eingereichten Beweismitteln ergebende Sachverhalt betreffend die Strafverfolgung in der Türkei wegen ihrer politischen Aktivitäten kon- struiert. So hat das SEM zu Recht darauf hingewiesen, dass sie anlässlich ihrer ersten Anhörung angegeben habe, dass Parteifreunde bereits vor ih- rer Ausreise am (…) Juli 2022 erfahren hätten, dass gegen sie ein Fest- nahmebefehl ausgestellt worden sei (A29 F63), während die Anzeige der unbekannten Person erst nach ihrer Ausreise im Oktober 2022 erstattet worden sei (vgl. A46 BM 1 und 2). Ferner fällt auf, dass das daraufhin ge- gen sie eingeleitete Ermittlungsverfahren einen ganz anderen Tatvorwurf (Terrorpropaganda in den sozialen Medien) umfasst, der sich mit ihren Vor- bringen nicht in Einklang bringen lässt.</w:t>
      </w:r>
    </w:p>
    <w:p>
      <w:r>
        <w:rPr>
          <w:b/>
        </w:rPr>
        <w:t>E. 6.4</w:t>
      </w:r>
    </w:p>
    <w:p>
      <w:r>
        <w:t>Zusammenfassend ist es den Beschwerdeführenden nicht gelungen, eine im Sinne von Art. 3 AsylG relevante Verfolgung beziehungsweise eine begründete Furcht vor asylrelevanten Nachteilen nachzuweisen oder glaubhaft zu machen. Die Vorinstanz hat die Asylgesuche demzufolge zu Recht abgelehnt. Gründe für die eventualiter beantrage Rückweisung der Sache an die Vorinstanz sind den Akten ebenfalls nicht zu entnehmen, zu- mal der entsprechende Eventualantrag in der Rechtsmitteleingabe unbe- gründet blieb.</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t>E-4904/2025 Seite 11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FoK verbotenen Strafe oder</w:t>
      </w:r>
    </w:p>
    <w:p>
      <w:r>
        <w:t>E-4904/2025 Seite 12 Behandlung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EGMR Saadi gegen Italien vom 28. Februar 2008, Grosse Kammer 37201/06, § 124 ff. m.w.H.). Nach den vorstehenden Ausführungen gelingt ihnen das nicht. Auch die allgemeine Menschenrechtssituation im Heimat- staat lässt den Wegweisungsvollzug zum heutigen Zeitpunkt nicht als un- 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BVGer E-4103/2024 a.a.O. E. 13.2 m.w.H.). Das Bundesverwaltungsgericht hält ausserdem den Wegweisungsvollzug in die vom Erdbeben vom Februar 2023 betroffenen Gebiete (Provinzen Kahramanmaraş, Hatay, Gaziantep, Osmaniye, Malatya, Adiyaman, Adana, Diyarbakır, Kilis, Şanliurfa und Ela- ziğ) nicht für generell unzumutbar und nimmt zur Beurteilung der Zumut- barkeit eine einzelfallweise Prüfung der individuellen Lebenssituation vor (vgl. Referenzurteil BVGer E-1308/2023 vom 19. März 2024 E. 11.3.1).</w:t>
      </w:r>
    </w:p>
    <w:p>
      <w:r>
        <w:rPr>
          <w:b/>
        </w:rPr>
        <w:t>E. 8.3.3</w:t>
      </w:r>
    </w:p>
    <w:p>
      <w:r>
        <w:t>Die Beschwerdeführenden lebten vor ihrer Ausreise in der vom Erd- beben betroffenen Provinz D._______, wo sich nach wie vor zahlreiche Verwandte aufhalten, wobei sie zu keinem Zeitpunkt im Verfahren geltend gemacht haben, dass diese D._______ infolge des Erdbebens hätten ver- lassen müssen. Folglich verfügen sie nach wie vor über ein tragfähiges Beziehungsnetz in der Türkei. Es kann davon ausgegangen werden, dass die Geschwister der Beschwerdeführerin sowie weitere Verwandte in der Türkei und im Ausland sie – wie bereits früher – (finanziell) unterstützen</w:t>
      </w:r>
    </w:p>
    <w:p>
      <w:r>
        <w:t>E-4904/2025 Seite 13 werden. Die Beschwerdeführerin verfügt zudem über Arbeitserfahrung als Reinigungskraft, weshalb sie nach der Rückkehr in die Türkei mit Hilfe ihres Beziehungsnetzes wieder eine wirtschaftliche Existenz für sich und ihre Kinder wird aufbauen können. Nach dem Gesagten bestehen keine Hin- weise dafür, dass die Familie bei einer Rückkehr in ihren Heimatstaat aus sozialen oder wirtschaftlichen Gründen in eine existenzielle Notlage gera- ten würde, zumal auch die Möglichkeit besteht, Rückkehrhilfe zu beantra- gen (Art. 93 Abs. 1 Bst. d AsylG, Art. 75 der Asylverordnung 2 vom 11. Au- gust 1999 [AsylV 2, SR 142.312]).</w:t>
      </w:r>
    </w:p>
    <w:p>
      <w:r>
        <w:rPr>
          <w:b/>
        </w:rPr>
        <w:t>E. 8.3.4</w:t>
      </w:r>
    </w:p>
    <w:p>
      <w:r>
        <w:t>Die Beschwerdeführerin leidet an Lymphdrüsen- und Bandscheiben- problemen sowie einem Kropf. Zudem seien ihre Kinder und sie psychisch belastet. Diese gesundheitlichen Beschwerden sprechen nicht für eine me- dizinische Notlage, aufgrund welcher von der Unzumutbarkeit des Weg- weisungsvollzugs auszugehen wäre (vgl. BVGE 2011/50 E. 8.3 und 2009/2 E. 9.3.2, je m.w.H.). Weiter ist zu bemerken, dass die Türkei grundsätzlich über ein funktionierendes Gesundheitssystem verfügt, das insbesondere in grösseren Städten dem europäischen Standard entspricht (vgl. Urteil des BVGer E-6060/2024 vom 25. November 2024 E. 8.3.2, m.w.H.).</w:t>
      </w:r>
    </w:p>
    <w:p>
      <w:r>
        <w:rPr>
          <w:b/>
        </w:rPr>
        <w:t>E. 8.3.5</w:t>
      </w:r>
    </w:p>
    <w:p>
      <w:r>
        <w:t>Den Akten sind sodann keine Hinweise darauf zu entnehmen, dass das Kindeswohl nach Art. 3 des Übereinkommens vom 20. November 1989 über die Rechte des Kindes (KRK, SR 0.107) dem Wegweisungsvoll- zug der beiden Kinder entgegenstehen würde (vgl. BVGE 2015/30 E. 7.2 m.w.H.). Trotz der in den auf Beschwerdeebene eingereichten schulischen Bestätigungen attestierten Fortschritte bezüglich schulischer Leistungen und Integration der zwei Kinder, kann nach dem knapp dreijährigen Aufent- halt und Schulbesuch in der Schweiz – anders als in ihrem Heimatstaat, wo sie seit ihrer Geburt gelebt haben – nicht von einer fortgeschrittenen Integration im Sinne der Rechtsprechung ausgegangen werden, welche im Falle einer Rückkehr in den Heimatstaat eine Entwurzelung zur Folge ha- ben könnte. Zudem ist – wie bereits oben erwähnt – von einem gesicherten Lebensunterhalt auszugehen. Es ist den beiden Kindern zuzumuten, in der Türkei in die Schule zurückzukehren und (betreffend das ältere Kind) allen- falls eine berufliche Ausbildung aufzunehmen.</w:t>
      </w:r>
    </w:p>
    <w:p>
      <w:r>
        <w:rPr>
          <w:b/>
        </w:rPr>
        <w:t>E. 8.3.6</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w:t>
      </w:r>
    </w:p>
    <w:p>
      <w:r>
        <w:t>E-4904/2025 Seite 14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wobei der am 29. Juli 2025 einbezahlte Kostenvorschuss zur Begleichung der Verfahrenskosten zu verwenden ist.</w:t>
      </w:r>
    </w:p>
    <w:p>
      <w:r>
        <w:t>(Dispositiv nächste Seite)</w:t>
      </w:r>
    </w:p>
    <w:p>
      <w:r>
        <w:t>E-4904/2025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