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E-4900/2014 vom 24. September 2014</w:t>
      </w:r>
    </w:p>
    <w:p>
      <w:r>
        <w:t>Bundesverwaltungsgericht, 2014-09-24, DE</w:t>
      </w:r>
    </w:p>
    <w:p>
      <w:r>
        <w:rPr>
          <w:b/>
        </w:rPr>
        <w:t xml:space="preserve">Quelle: </w:t>
      </w:r>
      <w:r>
        <w:t>https://mcp.opencaselaw.ch/entscheid/bvger_E-4900_2014</w:t>
      </w:r>
    </w:p>
    <w:p>
      <w:r>
        <w:t>FR: TAF E-4900/2014 du 24 septembre 2014</w:t>
      </w:r>
    </w:p>
    <w:p>
      <w:r>
        <w:t>IT: TAF E-4900/2014 del 24 settembre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52 VwVG und Art. 108 Abs. 1 AsylG)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Einer Person, die sich im Ausland befindet, kann das Asyl verweigert werden, wenn es ihr zugemutet werden kann, sich in einem anderen Staat um Aufnahme zu bemühen (Art. 52 Abs. 2 aAsylG).</w:t>
      </w:r>
    </w:p>
    <w:p>
      <w:r>
        <w:rPr>
          <w:b/>
        </w:rPr>
        <w:t>E. 5.1</w:t>
      </w:r>
    </w:p>
    <w:p>
      <w:r>
        <w:t>Die Vorinstanz stellt in der angefochtenen Verfügung fest, die Beschwerdeführerin halte sich in Äthiopien auf. Im Sinne einer Regelvermutung sei davon auszugehen, dass die betreffende Person im Drittstaat bereits anderweitig Schutz gefunden habe, was in der Regel zur Ablehnung des Asylgesuchs und der Verweigerung der Einreisebewilligung führe. Es gelte vorliegend deshalb zu prüfen, ob es aufgrund der gesamten Umstände geboten erscheine, dass es gerade die Schweiz sei, die den erforderlichen Schutz gewähren soll. Weder der Eingabe vom 22. No-vember 2012 noch der Anhörung seien glaubhaft dargelegte Anhaltspunkte zu entnehmen, die darauf hinweisen würden, dass die Beschwerdeführerin im Zeitpunkt der Ausreise aus Somalia ernstzunehmende Schwierigkeiten mit der Al-Shabaab gehabt habe. Namentlich sei nicht glaubhaft, dass die Polizei für einen derart banalen Hinweis auf zwei fremde Männer US Doller 500.- bezahle. Die Beschwerdeführerin und die Kinder würden den subsidiären Schutz der Schweiz nicht benötigen. Es sei ihnen zuzumuten, in Äthiopien zu verbleiben. Der Ehemann der Beschwerdeführerin sei mit Verfügung vom 2. März 2010 wegen Unzumutbarkeit des Vollzugs der Wegweisung vorläufig aufgenommen worden. Die Familienzusammenführung werde diesfalls nach Art. 85 Abs. 7 AuG (SR 142.20) geregelt. Ein entsprechendes Gesuch sei bei den zuständigen kantonalen Behörden einzureichen.</w:t>
      </w:r>
    </w:p>
    <w:p>
      <w:r>
        <w:rPr>
          <w:b/>
        </w:rPr>
        <w:t>E. 5.2</w:t>
      </w:r>
    </w:p>
    <w:p>
      <w:r>
        <w:t>In der Rechtsmitteleingabe hält die Beschwerdeführerin, unter Hinweis auf die allgemeine Situation, die schwierige Menschenrechtslage sowie die besondere Situation der Frauen in Somalia, an der Glaubhaftigkeit ihrer Vorbringen fest. Mit diesen allgemeinen Ausführungen legt sie indes nicht substantiiert dar, inwiefern die Vorinstanz zu Unrecht geschlossen habe, es sei nicht glaubhaft, in Somalia einer Verfolgung im Sinne von Art. 3 AsylG ausgesetzt zu sein. Solches ist auch nicht ersichtlich. Es kann vollumfänglich auf die entsprechenden Erwägungen in der angefochtenen Verfügung verwiesen werden. Die Beschwerdeführerin hält sich mit ihren Kindern in Äthiopien auf. Bei dieser Sachlage durfte die Vorinstanz auf die Prüfung von Art. 52 aAsylG und der weiteren Voraussetzungen für die Erteilung einer Einreisebewilligung verzichten. Soweit sich die Beschwerdeführerin auf die allgemein schwierige Situation in Äthiopien und ihr krankes Kind hinweist, vermag sie daraus nichts zu ihren Gunsten ableiten. Mit der Vorinstanz ist nochmals darauf hinzuweisen, dass es dem Ehemann der Beschwerdeführerin offen steht, beim zuständigen Kanton ein Gesuch um Familiennachzug gemäss Art. 85 Abs. 7 AuG einzureichen.</w:t>
      </w:r>
    </w:p>
    <w:p>
      <w:r>
        <w:rPr>
          <w:b/>
        </w:rPr>
        <w:t>E. 5.3</w:t>
      </w:r>
    </w:p>
    <w:p>
      <w:r>
        <w:t>Der Beschwerdeführerin ist demnach, entgegen ihrer Ansicht, ein weiterer Verbleib in Äthiopien zumutbar und sie auf den Schutz der Schweiz nicht angewiesen. Die Vorinstanz hat somit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Die Verfahrenskosten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