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E-489/2012 vom 8. November 2012</w:t>
      </w:r>
    </w:p>
    <w:p>
      <w:r>
        <w:t>Bundesverwaltungsgericht, 2012-11-08, DE</w:t>
      </w:r>
    </w:p>
    <w:p>
      <w:r>
        <w:rPr>
          <w:b/>
        </w:rPr>
        <w:t xml:space="preserve">Quelle: </w:t>
      </w:r>
      <w:r>
        <w:t>https://mcp.opencaselaw.ch/entscheid/bvger_E-489_2012</w:t>
      </w:r>
    </w:p>
    <w:p>
      <w:r>
        <w:t>FR: TAF E-489/2012 du 8 novembre 2012</w:t>
      </w:r>
    </w:p>
    <w:p>
      <w:r>
        <w:t>IT: TAF E-489/2012 del 8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 in der Regel, wie auch vorliegend - endgültig (Art. 105 AsylG; Art. 83 Bst. d Ziff. 1 des Bundesgerichtsgesetzes vom 17. Juni 2005 [BGG, SR 173.110]).</w:t>
      </w:r>
    </w:p>
    <w:p>
      <w:r>
        <w:rPr>
          <w:b/>
        </w:rPr>
        <w:t>E. 1.2</w:t>
      </w:r>
    </w:p>
    <w:p>
      <w:r>
        <w:t>Das Verfahren richtet sich nach dem VwVG, dem VGG und dem BGG, soweit das AsylG nichts anders bestimmt (Art. 37 VGG und Art. 6 AsylG).</w:t>
      </w:r>
    </w:p>
    <w:p>
      <w:r>
        <w:rPr>
          <w:b/>
        </w:rPr>
        <w:t>E. 1.3</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Beschwerde wurde in spanischer Sprache verfasst und zusammen mit einer deutschen Übersetzung eingereicht. Somit liegt sie dem Gericht in einer Amtssprache des Bundes vor (vgl. Art. 70 Abs. 1 der Bundesverfassung der Schweizerischen Eidgenossenschaft vom 18. April 1999 [BV, SR 101]). Der vorliegende Entscheid ergeht in deutscher Sprache (vgl. Art. 33a Abs. 2 VwVG i.V.m. Art. 37 VGG).</w:t>
      </w:r>
    </w:p>
    <w:p>
      <w:r>
        <w:rPr>
          <w:b/>
        </w:rPr>
        <w:t>E. 1.5</w:t>
      </w:r>
    </w:p>
    <w:p>
      <w:r>
        <w:t>Die Beschwerde ist somit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BVGE 2007/30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2007/30 E. 5.4). Allerdings kann sich eine Befragung beziehungsweise eine schriftliche Sachverhaltsabklärung erübrigen, wenn der Sachverhalt bereits aufgrund des eingereichten Asylgesuchs als entscheidreif erstellt erscheint; der asylsuchenden Person ist diesfalls aber immerhin im Sinne der Gewährung des rechtlichen Gehörs die Gelegenheit zu geben, sich zu einem abzusehenden negativen Entscheid zumindest schriftlich zu äussern (vgl. BVGE 2007/30 E. 5.7). Schliesslich ist das Bundesamt in jedem Fall gehalten, das Absehen von einer Befragung in der Verfügung über das Asylgesuch zu begründen (vgl. BVGE 2007/30 E. 5.6 sowie 5.7).</w:t>
      </w:r>
    </w:p>
    <w:p>
      <w:r>
        <w:rPr>
          <w:b/>
        </w:rPr>
        <w:t>E. 4.2</w:t>
      </w:r>
    </w:p>
    <w:p>
      <w:r>
        <w:t>Im vorliegenden Fall wurde die Beschwerdeführerin von der Schweizerischen Vertretung in Bogotá zu ihrem Asylgesuch nicht mündlich befragt. Eine Anhörung fand nicht statt, da einerseits das BFM aufgrund der Aktenlage, namentlich der schriftlichen Begründung des Asylgesuchs sowie der beigelegten ausführlichen Dokumentation, den entscheidrelevanten Sachverhalt als erstellt und folglich eine Anhörung als nicht notwendig erachtete sowie andererseits, weil die Schweizer Botschaft aus gerichtsnotorischen und mithin nachvollziehbaren Kapazitätsgründen dazu nicht in der Lage war. Der Beschwerdeführerin wurde indessen mit Zwischenverfügung des BFM vom 13. Mai 2011 das rechtliche Gehör im Hinblick auf die vom Bundesamt in Erwägung gezogene Abweisung des Asylgesuchs gewährt; die Beschwerdeführerin hat dazu keine Stellung genommen und mithin auf diesen Anspruch verzichtet. Aufgrund der einlässlichen Ausführungen der Beschwerdeführerin in ihrem schriftlichen Asylgesuch sowie der zahlreichen Beweismittel erscheint sodann der entscheidwesentliche Sachverhalt - wie das BFM in der angefochtenen Verfügung zu Recht ausführt - als rechtsgenüglich abgeklärt. Schliesslich hat das BFM in seiner Zwischenverfügung vom 13. Mai 2011 sowie in der angefochtenen Verfügung das Absehen von einer persönlichen Anhörung hinreichend begründet. Damit hat es den verfahrensrechtlichen Anforderungen Genüge getan.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5.3</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aktuelle Praxis gemäss Entscheidungen und Mitteilungen der Schweizerischen Asylrekurskommission [EMARK] 1997 Nr. 15, insbesondere S. 131 ff.).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w:t>
      </w:r>
    </w:p>
    <w:p>
      <w:r>
        <w:t>Die Beschwerdeführerin wendet gegen die Erwägungen der Vorinstanz nichts ein. Sie bekräftigt lediglich ihre vorinstanzlichen Vorbringen und ergänzt diese um weitere Sachverhaltselemente (weitere die Familie betreffende Drohungen und Erpressungen; Hinweise auf die Ermordung ihres Bruders). Die neuen Vorbringen vermögen den bereits von der Vorinstanz beurteilten Sachverhalt indes nicht in rechtserheblicher Weise zu ändern. Im Gegenteil weisen die Ausführungen in der Beschwerdeschrift eher auf eine gewisse Schutzfähigkeit und -bereitschaft der kolumbianischen Behörden hin (Verhaftung zweier am der Erpressung Beteiligter, zehntägiger Schutz rund um die Uhr durch das Militär zur Sicherung ihres Umzugs in eine andere Stadt) und sprechen damit nicht für ein Bedürfnis nach subsidiärer Schutzgewährung durch einen andern als den Heimatstaat. Entsprechendes gilt für ihr Vorbringen, in eine andere Stadt umgezogen zu sein. Ob sie sich in Kolumbien tatsächlich durch eine innerstaatliche Wohnsitzalternative dauerhaft der geltend gemachten Verfolgung entziehen kann und der kolumbianische Staat hinreichend schutzfähig und -willig ist, kann bei der vorliegenden Sachlage indes offen bleiben. Denn nach der Prüfung der Akten gelangt das Bundesverwaltungsgericht zum Schluss, dass die Vorinstanz zutreffend festgestellt hat, die Beschwerdeführerin habe in ihrem Gesuch keine besonders nahen Beziehungen zur Schweiz geltend gemacht. Im Weiteren hat das Bundesamt zu Recht erwogen, dass es ihr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demnach keine Anhaltspunkte, die darauf schliessen liessen, es sei der Beschwerdeführerin praktisch unmöglich oder objektiv unzumutbar, sich in einen anderen Staat, insbesondere einen der Nachbarstaaten Kolumbiens, zu begeben (vgl. EMARK 2004 Nr. 20; 1997 Nr. 15 E. 2f S. 132). Dies gilt umso mehr, als aus den Akten nicht ersichtlich ist, dass es sich bei der Beschwerdeführerin um eine landesweit bekannte Persönlichkeit handeln würde, die aufgrund ihrer besonders exponierten Stellung auch bei einer Flucht ins nahe Ausland allenfalls befürchten müsste, weiterhin verfolgt zu werden. Die Ausführungen in der Beschwerdeeingabe vermögen an dieser Einschätzung nichts zu ändern, zumal zwar neue Vorbringen vorgetragen werden, aber nicht eingewandt wird, die Beschwerdeführerin könne im nahen Ausland keinen Schutz finden. Nach dem Gesagten ist zusammenfassend festzuhalten, dass die Beschwerdeführerin aufgrund der Akten über keine konkrete Beziehungsnähe zur Schweiz verfügt, hingegen aber die Möglichkeit der anderweitigen Schutzsuche hat. Unter diesen Umständen hat die Vorinstanz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gemäss Art. 63 Abs. 1 VwVG der Beschwerdeführerin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