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E-4898/2014 vom 4. September 2014</w:t>
      </w:r>
    </w:p>
    <w:p>
      <w:r>
        <w:t>Bundesverwaltungsgericht, 2014-09-04, DE</w:t>
      </w:r>
    </w:p>
    <w:p>
      <w:r>
        <w:rPr>
          <w:b/>
        </w:rPr>
        <w:t xml:space="preserve">Quelle: </w:t>
      </w:r>
      <w:r>
        <w:t>https://mcp.opencaselaw.ch/entscheid/bvger_E-4898_2014</w:t>
      </w:r>
    </w:p>
    <w:p>
      <w:r>
        <w:t>FR: TAF E-4898/2014 du 4 septembre 2014</w:t>
      </w:r>
    </w:p>
    <w:p>
      <w:r>
        <w:t>IT: TAF E-4898/2014 del 4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Die Voraussetzungen für das Eintreten auf die Beschwerde sind vorliegend erfüllt.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5.1 Zur Begründung des angefochtenen Entscheides erwog das BFM, der Beschwerdeführer habe sich bezüglich Kernvorbringen in Widersprüche verstrickt, dies insbesondere bezüglich der geltend gemachten Verletzungen, die er anlässlich der Kundgebung erlitten haben soll. Voneinander abweichende Angaben habe er auch hinsichtlich der Flucht gemacht. Die Vorbringen seien platt und eindimensional ausgefallen. Der Beschwerdeführer habe sich auf ausweichende oder stereotype Antworten beschränkt. Besonders fade seien die Ausführungen zu den Ausschreitungen, zur angeblichen Haft und zum Verscharren der Leichen ausgefallen. Die Ausführungen seien unglaubhaft. Wenn er die erlittenen Verletzungen tatsächlich in der vorgebrachten Weise erlitten hätte, wäre er nicht in der Lage gewesen, wegzurennen. Da die Vorbringen den Anforderungen an die Glaubhaftigkeit nicht standhalten würden, sei deren Asylrelevanz nicht zu prüfen. Der Beschwerdeführer erfülle die Flüchtlingseigenschaft nicht, weshalb der Grundsatz der Nichtrückschiebung gemäss Art. 5 Abs. 1 AsylG nicht angewendet werden könne. Aus den Akten würden sich keine Anhaltspunkte dafür ergeben, dass dem Beschwerdeführer im Falle einer Rückkehr nach Guinea mit beachtlicher Wahrscheinlichkeit eine durch Art.3 EMRK verbotene Strafe oder Behandlung drohen würde. Weder die in Guinea herrschende politische Situation noch andere Gründe würden gegen die Zumutbarkeit der Rückführung dorthin sprechen. Zudem können davon ausgegangen werden, dass dem Beschwerdeführer mit Hilfe seines Bruders, der (...) auf eigenes Ersuchen hin in den Heimatstaat zurückgereist sei, die soziale und wirtschaftliche Reintegration gelingen werde.</w:t>
      </w:r>
    </w:p>
    <w:p>
      <w:r>
        <w:rPr>
          <w:b/>
        </w:rPr>
        <w:t>E. 5.2</w:t>
      </w:r>
    </w:p>
    <w:p>
      <w:r>
        <w:t>In der Rechtsmitteleingabe vom 23. August 2014 setzt sich der Beschwerdeführer mit den Erwägungen des Bundesamts nicht auseinander. Er beschränkt sich auf die Beteuerung seiner im vorinstanzlichen Verfahren gemachten Ausführungen, gibt an, keine Beweismittel beibringen zu können, und behauptet ohne irgendwelche Begründung, dass sein Bruder zwar nach Guinea zurückgekehrt sei, er diesen aber nicht kontaktieren könne.</w:t>
      </w:r>
    </w:p>
    <w:p>
      <w:r>
        <w:rPr>
          <w:b/>
        </w:rPr>
        <w:t>E. 6</w:t>
      </w:r>
    </w:p>
    <w:p>
      <w:r>
        <w:t>6.1 In Übereinstimmung mit der Vorinstanz kommt das Bundesverwaltungsgericht zum Schluss, dass die Vorbringen des Beschwerdeführers teilweise widersprüchlich, aufgesetzt sowie unsubstanziiert sind und den Anforderungen an die Glaubhaftmachung nicht zu genügen vermögen. Sie wirken einstudiert, und der Beschwerdeführer hinterlässt nicht den Eindruck, das Vorgebrachte selbst und in der geschilderten Weise erlebt zu haben. Zudem fällt auf, dass er alles ausspart, was den schweizerischen Behörden ermöglichen könnte, seine Vorbringen vertieft zu prüfen. Die angefochtene Verfügung setzt sich mit den Vorbringen rechtsgenüglich und überzeugend auseinander. Was in der Rechtsmitteleingabe vorgebracht wird, ist nicht geeignet, die Erwägungen des BFM in Zweifel zu ziehen oder dessen Schlussfolgerungen umzustossen. Der Beschwerdeführer bringt nichts Neues vor, gegenteils verstärken die auf Beschwerdeebene gemachten Ausführungen die Zweifel an den Vorbringen. Es ist offensichtlich, dass der Beschwerdeführer versucht, mit seinen knappen und unpräzisen Angaben eine Rückschaffung in den Heimatstaat zu verunmöglichen. Weitere Ausführungen erübrigen sich vor diesem Hintergrund.</w:t>
      </w:r>
    </w:p>
    <w:p>
      <w:r>
        <w:rPr>
          <w:b/>
        </w:rPr>
        <w:t>E. 6.2</w:t>
      </w:r>
    </w:p>
    <w:p>
      <w:r>
        <w:t>Das Bundesverwaltungsgericht stellt demnach fest, dass es dem Beschwerdeführer nicht gelungen ist, asylrechtlich relevante Verfolgungsgründe im Sinne von Art. 3 und 7 AsylG glaubhaft zu machen, weshalb das Bundesamt das Asylgesuch zu Recht abgelehnt hat.</w:t>
      </w:r>
    </w:p>
    <w:p>
      <w:r>
        <w:rPr>
          <w:b/>
        </w:rPr>
        <w:t>E. 7</w:t>
      </w:r>
    </w:p>
    <w:p>
      <w:r>
        <w:t>7.1 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8.2.1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vorliegend keine Anwendung finden. Eine Rückkehr des Beschwerdeführers nach Guinea ist demnach unter dem Aspekt von Art. 5 AsylG rechtmässig. Sodann ergeben sich weder aus den Aussagen des Beschwerdeführers noch aus den Akten Anhaltspunkte dafür, dass er für den Fall einer Ausschaffung nach Guinea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Guinea lässt den Wegweisungsvollzug zum heutigen Zeitpunkt nicht als unzulässig erscheinen. Nach dem Gesagten ist der Vollzug der Wegweisung sowohl im Sinne der asyl- als auch der völkerrechtlichen Bestimmungen zulässig.</w:t>
      </w:r>
    </w:p>
    <w:p>
      <w:r>
        <w:rPr>
          <w:b/>
        </w:rPr>
        <w:t>E. 8.3</w:t>
      </w:r>
    </w:p>
    <w:p>
      <w:r>
        <w:t>8.3.1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Mit Blick auf die politische Lage, die Menschenrechtssituation und die allgemeinen Lebensumstände in Guinea ist eine Rückschaffung des Beschwerdeführers unter dem Aspekt der konkreten Gefährdung aufgrund einer allgemeiner Gewaltsituation nicht unzumutbar. In den Akten finden sich keine konkreten Anhaltspunkte dafür, er geriete bei einer Rückkehr aus individuellen Gründen in eine existenzbedrohende Situation, zumal sein Bruder freiwillig nach Guinea zurückgekehrt ist, was dieser bei einer anderen Einschätzung der Lage im Heimatland wohl nicht getan hätte. Wie das BFM zu Recht festhält, ist davon auszugehen, dass der Beschwerdeführer in Guinea auf ein funktionierendes soziales Beziehungsnetz zurückgreifen kann. Er muss sich überdies vorhalten lassen, nicht das Geringste zur Klärung seiner konkreten Situation bei einer Rückschaffung nach Guinea beigetragen zu haben.</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 9.Aus diesen Erwägungen ergibt sich, dass die angefochtene Verfügung Bundesrecht nicht verletzt und den rechtserheblichen Sachverhalt richtig sowie vollständig feststellt (Art. 106 Abs. 1 AsylG). Die Beschwerde ist abzuweisen. 10.10.1 Der Antrag, dem Beschwerdeführer sei die unentgeltlichen Rechtspflege zu gewähren ist abzuweisen, da die Beschwerde als aussichtslos zu bezeichnen ist. 10.2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