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E-4891/2015 vom 29. Juni 2017</w:t>
      </w:r>
    </w:p>
    <w:p>
      <w:r>
        <w:t>Bundesverwaltungsgericht, 2017-06-29, DE</w:t>
      </w:r>
    </w:p>
    <w:p>
      <w:r>
        <w:rPr>
          <w:b/>
        </w:rPr>
        <w:t xml:space="preserve">Quelle: </w:t>
      </w:r>
      <w:r>
        <w:t>https://mcp.opencaselaw.ch/entscheid/bvger_E-4891_2015</w:t>
      </w:r>
    </w:p>
    <w:p>
      <w:r>
        <w:t>FR: TAF E-4891/2015 du 29 juin 2017</w:t>
      </w:r>
    </w:p>
    <w:p>
      <w:r>
        <w:t>IT: TAF E-4891/2015 del 29 giugno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 Das Verfahren richtet sich nach dem VwVG, dem VGG und dem BGG, soweit das AsylG nichts anderes bestimmt (Art. 37 VGG und Art. 6 AsylG).</w:t>
      </w:r>
    </w:p>
    <w:p>
      <w:r>
        <w:rPr>
          <w:b/>
        </w:rPr>
        <w:t>E. 2</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3.1</w:t>
      </w:r>
    </w:p>
    <w:p>
      <w:r>
        <w:t>Die Beschwerdeführerin wirft der Vorinstanz verschiedene Rechtsverletzungen vor. Sie rügt einerseits eine Verletzung der Begründungspflicht und behauptet weiter eine Verletzung der Untersuchungspflicht. Ihre diesbezüglichen Rügen begründet sie damit, dass die Vorinstanz hätte prüfen müssen, inwiefern die Gefährdungssituation der Mutter auch einen unmittelbaren und gezielten Nachteil im Sinne von Art. 3 AsylG für sie selber darstelle. Dies habe die Vorinstanz jedoch unterlassen und ihre diesbezüglichen Vorbringen einzig mit dem Argument der fehlenden Asylrelevanz verworfen. Zudem habe das SEM die Untersuchung zu Lasten der Beschwerdeführerin beeinflusst, da der Befragerin anlässlich der Anhörung hätte auffallen müssen, dass die Antworten der Beschwerdeführerin klar nicht auf die ihr gestellten Fragen gepasst hätten. Schliesslich seien die vagen Aussagen der Beschwerdeführerin nicht auf ihre mangelnde Beschreibungsfähigkeit, sondern auf eine Verletzung der Untersuchungspflicht durch das SEM zurückzuführen. Dieses habe ihr - im Gegensatz zu den detaillierten Fragen bezüglich Schulutensilien - beispielsweise keine Fragen zur Umgebung oder zur Zusammensetzung der Gruppe gestellt.</w:t>
      </w:r>
    </w:p>
    <w:p>
      <w:r>
        <w:rPr>
          <w:b/>
        </w:rPr>
        <w:t>E. 3.2</w:t>
      </w:r>
    </w:p>
    <w:p>
      <w:r>
        <w:t>Im Asylverfahren gilt - wie in anderen Verwaltungsverfahren - der Untersuchungsgrundsatz (Art. 6 AsylG in Verbindung mit Art. 12 VwVG). Nach dem Untersuchungsgrundsatz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3.3</w:t>
      </w:r>
    </w:p>
    <w:p>
      <w:r>
        <w:t>Der verfassungsrechtlich verankerte Anspruch auf rechtliches Gehör (Art. 29 Abs. 2 BV, siehe auch Art. 29 VwVG) vermittelt den Rechtsunterworfenen weiter das Recht auf eine angemessene Entscheidbegründung. Die verfügende Behörde hat ihren Entscheid so zu begründen, dass für die Verfügungsadressaten alle entscheidwesentlichen Argumente ersichtlich sind (vgl. Kiener/Rütsche/Kuhn, Öffentliches Verfahrensrecht, 2. Aufl. 2015, Rz. 243 ff.). Der Entscheid muss so abgefasst sein, dass der oder die Betroffene ihn gegebenenfalls sachgerecht anfechten kann, was voraussetzt, dass sowohl der oder die Betroffene als auch die Beschwerdeinstanz sich über die Tragweite und die Begründung des Entscheids ein Bild machen können (BGE 129 I 232 E. 3.2 S. 236). Nicht erforderlich ist, dass sich die Begründung mit allen Parteistandpunkten einlässlich auseinandersetzt und jedes einzelne Vorbringen ausdrücklich widerlegt (vgl. BGE 136 I 184 E. 2.2.1).</w:t>
      </w:r>
    </w:p>
    <w:p>
      <w:r>
        <w:rPr>
          <w:b/>
        </w:rPr>
        <w:t>E. 3.4</w:t>
      </w:r>
    </w:p>
    <w:p>
      <w:r>
        <w:t>Vorliegend hat die Vorinstanz im Einklang mit den Bestimmungen des Asylgesetzes eine Befragung zur Person (Art. 26 Abs. 2 AsylG) und eine ausführliche Anhörung durchgeführt (Art. 26 Abs. 3 AsylG) und der Beschwerdeführerin ausgedehnt Gelegenheit gegeben, ihre Asylgründe darzulegen. Dabei wurden ihr anlässlich der Befragungen genügend Fragen zur Reiseroute und den jeweiligen Aufenthaltsorten gestellt (vgl. Akten des Asylverfahrens, A10/13, S. 6 und A30/17, F 120 ff.), sie wurde auch auf Widersprüche in ihren Aussagen angesprochen (z.B. Akten des Asylverfahrens, A30/17, F 124) und erhielt somit die Gelegenheit, diese anlässlich der Anhörung direkt aufzuklären. Auch der Vorhalt, wonach die Übersetzung nicht einwandfrei funktioniert haben soll, ist nicht zu hören. Im Anhörungsprotokoll sind keine Situationen mit wesentlichen Verständnisproblemen zu erkennen. Die Antworten der Beschwerdeführerin zum Fussmarsch (Akten des Asylverfahrens, A30/17, F 130 f.) passen - entgegen den Behauptungen der Beschwerdeführerin - zu den dazu gestellten Fragen. So wollte die Befragerin wissen, welcher Streckenabschnitt für die Beschwerdeführerin der schwierigste gewesen sei. Darauf antwortete diese, dass sie beim Laufen keine Schwierigkeiten gehabt hätte. Was insoweit wohl bedeutet, dass ihr kein Streckenabschnitt sonderlich zu schaffen machte. Die Frage nach allfälligen Schwierigkeiten auf dem Fussmarsch hat die Beschwerdeführerin sodann verneint, sie seien "Gott sei Dank heil angekommen" (Akten des Asylverfahrens, A30/17, F 131). Auch dem übrigen Anhörungsprotokoll sind keine Verständigungsschwierigkeiten zu entnehmen. Die Befragerin und der Dolmetscher haben ihr jeweils ausreichend Möglichkeit zur vollständigen Darlegung oder Klarstellung ihrer Angaben geboten. Weiter gab die Beschwerdeführerin an, den Tigrinya sprechenden Dolmetscher gut zu verstehen. Sie hat denn auch in der Folge die Richtigkeit und Vollständigkeit des Protokolls nach Rückübersetzung unterschriftlich bestätigt. Schliesslich brachte auch die anwesende Hilfswerksvertretung keine Anmerkungen an. Vor diesem Hintergrund erweisen sich die nachträglichen Vorbehalte und die in der Beschwerde angeführten Einwendungen als nicht stichhaltig. Die für einen Entscheid wesentlichen Sachverhaltsteile sind rechtsgenügend von der Vorinstanz festgestellt worden, eine Verletzung des Untersuchungsgrundsatzes liegt demnach nicht vor.</w:t>
      </w:r>
    </w:p>
    <w:p>
      <w:r>
        <w:rPr>
          <w:b/>
        </w:rPr>
        <w:t>E. 3.5</w:t>
      </w:r>
    </w:p>
    <w:p>
      <w:r>
        <w:t>Schliesslich hat die Vorinstanz in der Begründung ihrer Entscheidung die wesentlichen Gesichtspunkte zusammengefasst wiedergegeben. Sie hat sich auf die wesentlichen Aussagen konzentriert und die Verfügung unter anderem auch im Hinblick auf die fehlende Asylrelevanz ausreichend begründet. Hierzu hat sie aufgeführt, dass sich die geltend gemachten behördlichen Massnahmen nicht gegen die Beschwerdeführerin selber, sondern gegen ihre Mutter gerichtet hätten, und für die Beschwerdeführerin somit nicht asylrelevant seien. Die Beschwerde selbst zeigt, dass eine sachgerechte Anfechtung (aufgrund der vorliegenden Begründung) möglich war. Eine Verletzung der Begründungspflicht liegt demnach nicht vor.</w:t>
      </w:r>
    </w:p>
    <w:p>
      <w:r>
        <w:rPr>
          <w:b/>
        </w:rPr>
        <w:t>E. 3.6</w:t>
      </w:r>
    </w:p>
    <w:p>
      <w:r>
        <w:t>Entgegen den Vorbringen in der Beschwerdeschrift liegt vorliegend weder eine Verletzung des Untersuchungsgrundsatzes noch eine solche der Begründungspflicht vor. Es besteht vor diesem Hintergrund kein Anlass, die Sache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5.1</w:t>
      </w:r>
    </w:p>
    <w:p>
      <w:r>
        <w:t>Die Vorinstanz begründet ihre Verfügung im Asylpunkt im Wesentlichen damit, dass sich die von der Beschwerdeführerin geltend gemachten Massnahmen der Behörden nicht gegen sie selber, sondern gegen ihre Mutter gerichtet hätten und für die Beschwerdeführerin deshalb nicht asylrelevant seien. Ihre Vorbringen hinsichtlich der Reiseroute und der Aufenthaltsorte seien zudem widersprüchlich ausgefallen. Weiter habe sie auch die Ausreise substanzlos und vage geschildert, weshalb die Vorbringen bezüglich ihrer angeblichen illegalen Ausreise den Anforderungen an Art. 7 AsylG nicht standhalten würden. Aufgrund dessen sei es ihr auch nicht gelungen, das Vorliegen subjektiver Nachfluchtgründe glaubhaft zu machen, da die gesetzliche Beweis- beziehungsweise Substanziierungslast - auch bei notorisch schwieriger Ausreise - nicht umgekehrt werde. Auf Vernehmlassungsstufe bestätigte die Vorinstanz ihre Ausführungen.</w:t>
      </w:r>
    </w:p>
    <w:p>
      <w:r>
        <w:rPr>
          <w:b/>
        </w:rPr>
        <w:t>E. 5.2</w:t>
      </w:r>
    </w:p>
    <w:p>
      <w:r>
        <w:t>Die Beschwerdeführerin bringt dagegen vor, eine Verfolgung oder Gefährdung, welche sich gezielt gegen eine Person mit minderjährigen Kindern richte, umfasse auch die Kinder, diese seien in der Regel ebenfalls von der Verfolgung betroffen. Diesem Grundsatz folgend werde in der Schweiz den Kindern einer bedrohten Person Familienasyl gewährt. Weiter habe die vorliegende Situation auch eine relevante Nähe zur Reflexverfolgung, da die direkte Verfolgung - oder vorliegend gar die Inhaftierung - einer Person immer auch deren Kinder betreffe. Die Kinder seien dann praktisch zur Mitflucht gezwungen, da von ihnen nicht erwartet werden könne, sich alleine im Heimatland aufzuhalten. Die Ausführungen der Beschwerdeführerin hinsichtlich der illegalen Ausreise seien zudem glaubhaft. Die aus den Befragungsprotokollen ersichtlichen Widersprüche seien darauf zurückzuführen, dass ihre Ausreise immerhin sechs Jahre zurückliege und sie während der Befragungen unter erheblichem Einfluss ihres Bruders gestanden sei, welcher ihr im Vorfeld der Anhörung Ratschläge erteilt habe. Ihre Ausführungen zur Ausreise seien zwar knapp, aber mit genügend Elementen, die auf das tatsächliche Vorliegen einer illegalen Flucht schliessen lassen, ausgefallen. Dass das SEM ihre Schilderungen hinsichtlich der Grenzüberquerung als vage bezeichnet habe, sei darauf zurückzuführen, dass ihr diesbezüglich nur wenige Fragen gestellt worden seien und die Übersetzung zudem nicht ordnungsgemäss funktioniert habe.</w:t>
      </w:r>
    </w:p>
    <w:p>
      <w:r>
        <w:rPr>
          <w:b/>
        </w:rPr>
        <w:t>E. 5.3</w:t>
      </w:r>
    </w:p>
    <w:p>
      <w:r>
        <w:t>Nach Prüfung der Akten ist der Vorinstanz darin zustimmen, dass die Vorbingen der Beschwerdeführerin nicht asylrelevant sind, da sie nicht auf eine gezielte Verfolgung gegen ihre Person schliessen lassen, mithin insbesondere kein gegen sie gerichtetes asylbeachtliches Verfolgungsmotiv enthalten. Diesbezüglich ist darauf hinzuweisen, dass die Beschwerdeführerin im Vorverfahren ausdrücklich sagte, in Eritrea nie persönlich von Problemen betroffen gewesen zu sein (Akten des Asylverfahrens, A 10/13, S. 7 f. und A30/17, F 88). Auch hat sie keine asylrelevanten Befürchtungen geäussert (vgl. z.B. Akten des Asylverfahrens, A30/17, F 114).</w:t>
      </w:r>
    </w:p>
    <w:p>
      <w:r>
        <w:rPr>
          <w:b/>
        </w:rPr>
        <w:t>E. 5.3.1</w:t>
      </w:r>
    </w:p>
    <w:p>
      <w:r>
        <w:t>Konkrete Anhaltspunkte für das Vorliegen einer Reflexverfolgung (vgl. zum Begriff der Reflexverfolgung das Urteil des BVGer E-4456/2016 vom 1. Juni 2017 E. 4.4 mit Hinweisen auf BVGE 2011/51 E. 6.2 und EMARK 1994/5 E. 3-h S. 47 f.) liegen nicht vor, zumal die Beschwerdeführerin auch nicht geltend macht, zu irgendeinem Zeitpunkt von den Behörden belästigt oder behelligt worden zu sein. Vielmehr soll sich die Behelligung durch die Behörden nur gegen ihre Eltern gerichtet haben.</w:t>
      </w:r>
    </w:p>
    <w:p>
      <w:r>
        <w:rPr>
          <w:b/>
        </w:rPr>
        <w:t>E. 5.3.2</w:t>
      </w:r>
    </w:p>
    <w:p>
      <w:r>
        <w:t>Die Frage des Familienasyls im Sinne von Art. 54 AsylG ist vorliegend zudem nicht zu prüfen, da sich weder die Eltern der Beschwerdeführerin noch eigene minderjährige Kinder in der Schweiz befinden und Asyl erhalten haben.</w:t>
      </w:r>
    </w:p>
    <w:p>
      <w:r>
        <w:rPr>
          <w:b/>
        </w:rPr>
        <w:t>E. 5.3.3</w:t>
      </w:r>
    </w:p>
    <w:p>
      <w:r>
        <w:t>In Anbetracht der Tatsache, dass die von der Beschwerdeführerin geltend gemachten Vorfluchtgründe nicht asylrelevant sind, kann in Übereinstimmung mit der Vorinstanz auf eine Glaubhaftigkeitsprüfung der diesbezüglichen Vorbringen verzichtet werden.</w:t>
      </w:r>
    </w:p>
    <w:p>
      <w:r>
        <w:rPr>
          <w:b/>
        </w:rPr>
        <w:t>E. 5.4</w:t>
      </w:r>
    </w:p>
    <w:p>
      <w:r>
        <w:t>Gemäss aktueller Praxis des Gerichts kann allein aufgrund einer illegalen Ausreise keine begründete Furcht vor asylrechtlich beachtlicher Verfolgung angenommen werden (ausführlich dazu Urteil D-7898/2015 E. 4.6-5.1 [vgl. oben, E. 4.3]). Das Gericht kam im eben genannten Urteil zum Schluss, dass dies auch für Minderjährige gelte. Da die Beschwerdeführerin zum Zeitpunkt der Ausreise das dienstpflichtige Alter noch nicht erreicht hatte und die geltend gemachte Belästigung und Inhaftierung der Mutter für sie keine flüchtlingsrechtlichen Konsequenzen auslöste, steht vorliegend allein die illegale Ausreise zur Beurteilung an. Nachdem die Beschwerdeführerin neben dieser illegalen Ausreise keine zusätzlichen Anknüpfungspunkte für eine Verschärfung ihres Profils aufweist, ist vorliegend und in Anwendung des Referenzurteils D-7898/2015 nicht von einer flüchtlingsrechtlich beachtlichen Verfolgung auszugehen. Bei dieser Sachlage erübrigt sich eine Prüfung der Glaubhaftigkeit der diesbezüglichen Vorbringen und auf die Ausführungen in der Beschwerdeschrift ist deshalb nicht weiter einzugehen.</w:t>
      </w:r>
    </w:p>
    <w:p>
      <w:r>
        <w:rPr>
          <w:b/>
        </w:rPr>
        <w:t>E. 5.5</w:t>
      </w:r>
    </w:p>
    <w:p>
      <w:r>
        <w:t>Wie die Vorinstanz kommt das Gericht deshalb zum Schluss, dass die Beschwerdeführerin keine begründete Furcht vor ernsthaften Nachteilen im Sinne von Art. 3 AsylG geltend machen kann. Die Vorinstanz hat daher zu Recht die Flüchtlingseigenschaft der Beschwerdeführerin verneint und ihr Asylgesuch abgelehnt.</w:t>
      </w:r>
    </w:p>
    <w:p>
      <w:r>
        <w:rPr>
          <w:b/>
        </w:rPr>
        <w:t>E. 6</w:t>
      </w:r>
    </w:p>
    <w:p>
      <w:r>
        <w:t>Lehnt das Staatssekretariat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Die Beschwerde ist abzuweisen. Die von der Vorinstanz wegen Unzumutbarkeit des Vollzugs verfügte vorläufige Aufnahme bleibt dadurch unberührt.</w:t>
      </w:r>
    </w:p>
    <w:p>
      <w:r>
        <w:rPr>
          <w:b/>
        </w:rPr>
        <w:t>E. 8.1</w:t>
      </w:r>
    </w:p>
    <w:p>
      <w:r>
        <w:t>Bei diesem Ausgang des Verfahrens wären die Kosten der Beschwerdeführerin aufzuerlegen (Art. 63 Abs. 1 VwVG; Art. 1-3 des Reglements vom 21. Februar 2008 über die Kosten und Entschädigungen vor dem Bundesverwaltungsgericht [VGKE, SR 173.320.2]). Da ihr mit Zwischenverfügung vom 20. August 2015 die unentgeltliche Rechtspflege gewährt wurde, sind jedoch keine Verfahrenskosten zu erheben.</w:t>
      </w:r>
    </w:p>
    <w:p>
      <w:r>
        <w:rPr>
          <w:b/>
        </w:rPr>
        <w:t>E. 8.2</w:t>
      </w:r>
    </w:p>
    <w:p>
      <w:r>
        <w:t>Bei amtlicher Vertretung wird in der Regel von einem Stundenansatz von Fr. 200.- bis Fr. 220.- für Anwältinnen und Anwälte und Fr. 100.- bis Fr. 150.- für nicht-anwaltliche Vertreterinnen und Vertreter ausgegangen (vgl. Art. 12 i.V.m. Art. 10 Abs. 2 VGKE). Es wird nur der notwendige Aufwand entschädigt (vgl. Art. 8 Abs. 2 VGKE).</w:t>
      </w:r>
    </w:p>
    <w:p>
      <w:r>
        <w:rPr>
          <w:b/>
        </w:rPr>
        <w:t>E. 8.3</w:t>
      </w:r>
    </w:p>
    <w:p>
      <w:r>
        <w:t>Mit Zwischenverfügung vom 20. August 2015 wurde der Beschwerdeführerin die unentgeltliche Rechtsverbeiständung gewährt und Rechtsanwältin Barbara Wille als amtliche Rechtsvertreterin eingesetzt. Die amtliche Vertreterin wies in ihrer Kostennote vom 12. August 2015 bei einem Stundenansatz von Fr. 250.- und einem zeitlichen Aufwand von 8.25 Stunden einen totalen Aufwand von insgesamt Fr. 2'077.50 (inkl. Auslagen) aus. Der Stundenansatz ist auf Fr. 220.- zu reduzieren. Unter Berücksichtigung der in Betracht zu ziehenden Berechnungsfaktoren (Art. 9-13 VGKE) ist das amtliche Honorar auf insgesamt Fr. 1'830.-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