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E-4887/2015 vom 23. Februar 2016</w:t>
      </w:r>
    </w:p>
    <w:p>
      <w:r>
        <w:t>Bundesverwaltungsgericht, 2016-02-23, DE</w:t>
      </w:r>
    </w:p>
    <w:p>
      <w:r>
        <w:rPr>
          <w:b/>
        </w:rPr>
        <w:t xml:space="preserve">Quelle: </w:t>
      </w:r>
      <w:r>
        <w:t>https://mcp.opencaselaw.ch/entscheid/bvger_E-4887_2015</w:t>
      </w:r>
    </w:p>
    <w:p>
      <w:r>
        <w:t>FR: TAF E-4887/2015 du 23 février 2016</w:t>
      </w:r>
    </w:p>
    <w:p>
      <w:r>
        <w:t>IT: TAF E-4887/2015 del 23 febbraio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1.3</w:t>
      </w:r>
    </w:p>
    <w:p>
      <w:r>
        <w:t>Auf die frist- und im Übrigen formgerecht eingereichte Beschwerde ist einzutreten (Art. 108 Abs. 1 AsylG, Art. 6 AsylG i.V.m. Art. 52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4.2 Bei diesem Entscheid sind die Voraussetzungen zur Erteilung einer Einreisebewilligung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im Sinne von Art. 3 AsylG und die Frage, ob der Verbleib am Aufenthaltsort für die Dauer der Sachverhaltsabklärung zugemutet werden kann (vgl. BVGE 2011/10 E. 3.3 S. 126 und E. 5.1 S. 128). 4.3 Gemäss Rechtsprechung des Bundesverwaltungsgerichts schliesst im Auslandverfahren das Bestehen der Flüchtlingseigenschaft allein aufgrund von subjektiven Nachfluchtgründen die Bewilligung zur Einreise von vornherein aus. Demzufolge kommt der Frage entscheidendes Gewicht zu, ob die Person, die aus einem Drittstaat ein Asylgesuch stellt, bereits zum Zeitpunkt der Ausreise eine asylrechtlich relevante Gefährdung zu gewärtigen hatte (vgl. zum Ganzen BVGE 2012/26 E. 7.1 f. S. 519 f.).</w:t>
      </w:r>
    </w:p>
    <w:p>
      <w:r>
        <w:rPr>
          <w:b/>
        </w:rPr>
        <w:t>E. 5</w:t>
      </w:r>
    </w:p>
    <w:p>
      <w:r>
        <w:t>Die Vorinstanz verweigerte dem Beschwerdeführer die Einreise in die Schweiz mit der Begründung, die Abklärung des Sachverhalts erfordere seine Anwesenheit in der Schweiz nicht; aufgrund des vollständig erstellten Sachverhalts könne vielmehr davon ausgegangen werden, dass keine unmittelbare Gefährdung vorliege, welche die Anwesenheit in der Schweiz als notwendig erscheinen lasse. Das Asylgesuch lehnte sie im Wesentlichen mit der Begründung ab, dass keine Vorfluchtgründe geltend gemacht worden seien und bei alleinigen subjektiven Nachfluchtgründen das Asylgesuch unabhängig von der allfälligen Beziehungsnähe zur Schweiz oder von der Zumutbarkeit des Verbleibs im Drittstaat abzuweisen sei, da angesichts der auszusprechenden Wegweisung gesetzeslogisch keine Einreisebewilligung erteilt werden könne. Ferner wies die Vorinstanz auf die Möglichkeit eines ausländerrechtlichen Familiennachzugs hin und verwies die Prüfung des Gesuchs um humanitäres Visum an die Schweizerische Botschaft in Neudelhi, welcher sie das entsprechende Schreiben weitergeleitet habe.</w:t>
      </w:r>
    </w:p>
    <w:p>
      <w:r>
        <w:rPr>
          <w:b/>
        </w:rPr>
        <w:t>E. 6</w:t>
      </w:r>
    </w:p>
    <w:p>
      <w:r>
        <w:t>Das Gericht stellt fest, dass in Bezug auf die Ausreise aus der Volksrepublik China keine Vorfluchtgründe geltend gemacht worden sind. Da solches auch auf Beschwerdeebene nicht ansatzweise nachgeholt worden ist, ist auch die Rüge unbehelflich, der Beschwerdeführer sei auf der Botschaft gar nicht danach befragt worden. Angesichts des sehr jungen Alters des Beschwerdeführers beim Verlassen seines Heimatstaates sind Vorfluchtgründe auch nicht ersichtlich. Genauso wenig ist in Bezug auf den weiteren Verbleib im Drittstaat Indien eine Schutzbedürftigkeit im Sinne von Art. 3 AsylG erstellt. Vorgebracht und von der Vorinstanz nicht angezweifelt wurde indes illegale Ausreise aus dem Heimatstaat, was unter Umständen als subjektiver Nachfluchtgrund zu würdigen ist (sogenannte Republikflucht). Entgegen der Beschwerde hat die Vorinstanz indes zutreffend festgestellt, dass, wenn lediglich subjektive Nachfluchtgründe vorliegen, die Einreise wegen des entsprechenden Asylausschlussgrundes trotz des allfälligen Bestehens der Flüchtlingseigenschaft und unabhängig von der Beziehungsnähe zur Schweiz und den Lebensbedingungen im Drittstaat zu verweigern ist (vgl. BVGE 2012/26 E. 7). Entgegen der Beschwerde besteht dabei gesetzeslogisch für die Berücksichtigung von besonderen Umständen des konkreten Sachverhalts, Überlegungen betreffend das Kindeswohl oder die Lebensumstände im Drittstaat, kein Raum. Entgegen der Beschwerde gilt dies für unbegleitete Minderjährige genauso wie für PKK-Kämpfer und kommt es auch nicht auf Asylunwürdigkeit als Asylausschlussgrund an. Nach dem Gesagten hat die Vorinstanz dem Beschwerdeführer die Einreise in die Schweiz zu Recht verweigert und sein Asylgesuch abgelehnt.</w:t>
      </w:r>
    </w:p>
    <w:p>
      <w:r>
        <w:rPr>
          <w:b/>
        </w:rPr>
        <w:t>E. 7</w:t>
      </w:r>
    </w:p>
    <w:p>
      <w:r>
        <w:t>Aus diesen Erwägungen ergibt sich, dass die angefochtene Verfügung im Lichte von Art. 106 Abs. 1 AsylG nicht zu beanstanden ist. Die Beschwerde ist abzuweisen.</w:t>
      </w:r>
    </w:p>
    <w:p>
      <w:r>
        <w:rPr>
          <w:b/>
        </w:rPr>
        <w:t>E. 8</w:t>
      </w:r>
    </w:p>
    <w:p>
      <w:r>
        <w:t>Die gestellten Begehren erweisen sich als aussichtslos, weshalb die Gesuche um unentgeltliche Rechtspflege sowie um Beiordnung eines amtlichen Rechtsbeistands, einer allfälligen prozessualen Bedürftigkeit ungeachtet, abzuweisen sind (Art. 65 Abs. 1 VwVG und Art. 110a Abs. 1 Bst. a AsylG). Mit dem vorliegenden Entscheid ist das Gesuch um Entbindung von der Kostenvorschusspflicht gegenstandslos geworden.</w:t>
      </w:r>
    </w:p>
    <w:p>
      <w:r>
        <w:rPr>
          <w:b/>
        </w:rPr>
        <w:t>E. 9</w:t>
      </w:r>
    </w:p>
    <w:p>
      <w:r>
        <w:t>Bei diesem Ausgang des Verfahrens sind die Kosten gemäss Art. 63 Abs. 1 VwVG dem Beschwerdeführer aufzuerlegen und auf insgesamt Fr. 600.- festzusetzen (Art. 1-3 des Reglements vom 21. Februar 2008 über die Kosten und Entschädigungen vor dem Bundesverwaltungsgericht [VGKE, SR 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