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E-4880/2011 vom 15. September 2011</w:t>
      </w:r>
    </w:p>
    <w:p>
      <w:r>
        <w:t>Bundesverwaltungsgericht, 2011-09-15, FR</w:t>
      </w:r>
    </w:p>
    <w:p>
      <w:r>
        <w:rPr>
          <w:b/>
        </w:rPr>
        <w:t xml:space="preserve">Quelle: </w:t>
      </w:r>
      <w:r>
        <w:t>https://mcp.opencaselaw.ch/entscheid/bvger_E-4880_2011</w:t>
      </w:r>
    </w:p>
    <w:p>
      <w:r>
        <w:t>FR: TAF E-4880/2011 du 15 septembre 2011</w:t>
      </w:r>
    </w:p>
    <w:p>
      <w:r>
        <w:t>IT: TAF E-4880/2011 del 15 settembre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OA 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Cela précisé, avec la nouvelle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En effet, ils n'ont produit que des photocopies de la page principale de leurs passeports. La remise d'une photocopie ne satisfait cependant pas aux exigences de l'art. 32 al. 2 let. a LAsi précitées. Les actes d'état civil qu'ils ont déposés ne constituent pas non plus des documents de voyage ou des pièces d'identité au sens vu plus haut. Il en va de même du permis de conduire, d'ailleurs produit après expiration du délai de 48 heures (cf. consid. 2.2 ci-dessus). Certes, comme ils le soutiennent dans leur recours, leur identité peut être considérée comme établie. Il n'en demeure pas moins qu'ils n'ont pas produit l'original de leurs passeports, seul document permettant en l'espèce le retour des intéressés dans leur pays d'origine sans démarches administratives particulières conformément à la jurisprudence. Les recourants n'ont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En l'espèce, les intéressés ont déclaré que le passeur avait gardé leurs passeports avant de franchir la frontière suisse. Ils ont également indiqué avoir pris contact avec la mère du recourant pour que celle-ci essaie de retrouver le passeur afin qu'il lui remette les passeports. Toutefois, ces explications sont stéréotypées et manquent considérablement de substance. Par ailleurs, elles apparaissent manifestement articulées pour les seuls besoins de la cause et trahissent de surcroît un manque flagrant de volonté de collaborer à l'établissement des faits. L'argument formulé dans l'acte de recours, selon lequel la mère de l'intéressé ne serait toujours pas parvenue à contacter le passeur qu'elle connaît pourtant personnellement, est en l'espèce sans pertinence, eu égard notamment au laps de temps qui s'est écoulé depuis le dépôt de la demande d'asile. Dans ces conditions, il est permis de conclure non seulement que les intéressés cherchent à cacher les véritables circonstances de leur venue en Suisse, mais aussi que la non-production de leurs passeports ne vise qu'à dissimuler des indications y figurant qui seraient de nature à saper les fondements de leur demande d'asile.</w:t>
      </w:r>
    </w:p>
    <w:p>
      <w:r>
        <w:rPr>
          <w:b/>
        </w:rPr>
        <w:t>E. 3.2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effet, les recourants n'ont pas fait valoir de motifs correspondant aux critères exhaustivement énumérés, de l'art. 3 LAsi, à savoir des persécutions en relation avec la race, la religion, la nationalité, l'appartenance à un groupe social déterminé ou les opinions politiques. Le recourant ne saurait se prévaloir utilement d'une crainte fondée de subir des préjudices en cas de retour dans son pays d'origine, dans le cas où il serait confronté aux autorités en raison de sa désertion ou de l'infraction commise durant son service. En effet, il convient de rappeler que, selon une jurisprudence constante développée par l'ancienne Commission suisse de recours en matière d'asile, qui conserve toute sa pertinence et que le Tribunal n'entend pas remettre en question,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 aa p. 16 s., ainsi que JICRA 2003 n° 8, JICRA 2002 n° 19 et JICRA 2001 n° 15). En l'espèce, il ne ressort pas du dossier que l'intéressé serait exposé à une peine plus sévère ou disproportionnée en raison de motifs tirés de l'art. 3 LAsi. En effet, il n'a, notamment, jamais exercé d'activités politiques dans son pays (cf. p-v d'audition de A._______ du 25 mai 2011 p. 7). En outre, rien n'indique que l'appartenance ethnique ou religieuse de l'intéressé ou d'autres motifs l'exposeraient à une telle peine. Au demeurant, les déclarations du recourant relatives aux motifs pour lesquels il aurait quitté la Russie, après y avoir séjourné et travaillé pendant près de quatre ans, afin de retourner en Arménie pour y effectuer son service militaire, sont pour le moins floues. De plus, ses explications au sujet des difficultés qu'il aurait rencontrées avec les autorités russes ou arméniennes en raison du fait qu'il n'avait pas encore accompli son service militaire sont également vagues et, partant, invraisemblables (cf. p-v d'audition de A._______ du 18 août 2011 p. 3ss). A cela s'ajoute que le passeport de l'intéressé a été établi en date du 4 mars 2011. Il n'est toutefois pas crédible qu'il ait pu se faire délivré un tel document à cette date, alors que selon ses déclarations, il était activement recherché par les autorités de son pays à cette époque. En outre, les explications données à ce sujet, à savoir que le passeur se serait chargé de faire établir le passeport, ne sont pas vraisemblables pour les mêmes raisons, et ce d'autant moins que, dans son recours, il est précisé que les passeports étaient véritables et avaient été obtenus par les recourants eux-mêmes (cf. mémoire de recours du 6 septembre 2011, p. 4). Dans ces conditions, le Tribunal est en droit de conclure que l'intéressé cherche à cacher les causes et les circonstances exactes de son départ ainsi que les conditions de son voyage à destination de la Suisse, soit autant de motifs qui permettent de douter de la vraisemblance des faits qu'il rapporte. S'agissant de la citation à comparaître du 28 février 2011 et de l'avis de recherche du 5 mars 2011, force est de constater que la citation ne contient aucun sceau ni d'ailleurs le lieu où le recourant aurait dû se présenter. Quant à l'avis de recherche, il n'est pas vraisemblable que l'avocat mandaté par la mère de l'intéressé ait pu se procurer un tel document de surcroît en original, dans la mesure où il est censé s'agir d'un document secret (comme indiqué en haut à droite de l'avis) établi par les autorités arméniennes à l'intention des autorités russes. Au vu de ce qui précède, les pièces produites ne sont pas de nature à corroborer les dires de l'intéressé, mais semblent plutôt avoir été établies pour les seuls besoins de la cause. En conséquence, les déclarations du recourant relatives aux recherches prétendument menées contre lui ne sont étayées par aucune preuve pertinente, pas plus que ne le sont les risques d'une condamnation à une peine particulièrement sévère. A ce sujet, le Tribunal relève au passage que, contrairement à ce que soutient l'intéressé dans son recours, l'Arménie a aboli la peine de mort pour tous les crimes depuis 2003. Enfin, il est à relever que les tracasseries qu'auraient occasionné à la recourante la police ou les autorités militaires prétendument à la recherche de son conjoint ne seraient pas d'une gravité suffisant à les faire qualifier de persécutions ni à rendre l'exécution du renvoi illicite. Pour le reste, renvoi peut être fait aux considérants de la décision attaquée, le recours ne contenant ni arguments ni moyens de preuve susceptibles d'en remettre en cause le bien-fondé.</w:t>
      </w:r>
    </w:p>
    <w:p>
      <w:r>
        <w:rPr>
          <w:b/>
        </w:rPr>
        <w:t>E. 3.3</w:t>
      </w:r>
    </w:p>
    <w:p>
      <w:r>
        <w:t>Il découle donc de ce qui précède que des mesures d'investigation complémentaires ne sont pas nécessaires, au sens de l'art. 32 al. 3 let. c LAsi. 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4.2</w:t>
      </w:r>
    </w:p>
    <w:p>
      <w:r>
        <w:t>Pour les motifs exposés ci-dessus, 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des recourants, mais également eu égard à la situation personnelle des recourants. En effet, les intéressés sont jeunes et n'ont pas allégué ni a fortiori établi qu'ils souffraient de problèmes de santé particuliers pour lesquels ils ne pourraient pas être soignés en Arménie et qui seraient susceptibles de rendre leur renvoi inexigible. Les intéressés disposent également sur place d'un réseau familial et le recourant est au bénéfice d'une formation ainsi que d'une expérience professionnelle. S'agissant de la grossesse de l'intéressée, il appartiendra à l'ODM d'être attentif, dans le cadre de l'organisation du renvoi, aux précautions imposées par son état.</w:t>
      </w:r>
    </w:p>
    <w:p>
      <w:r>
        <w:rPr>
          <w:b/>
        </w:rPr>
        <w:t>E. 4.4</w:t>
      </w:r>
    </w:p>
    <w:p>
      <w:r>
        <w:t>L'exécution du renvoi est enfin possible (cf. art. 83 al. 2 LEtr) et les recourants sont tenus de collaborer à l'obtention de documents de voyage leur permettant de quitter la Suisse (cf. art. 8 al. 4 LAsi ; ATAF 2008/34 consid. 12 p. 513-515).</w:t>
      </w:r>
    </w:p>
    <w:p>
      <w:r>
        <w:rPr>
          <w:b/>
        </w:rPr>
        <w:t>E. 4.5</w:t>
      </w:r>
    </w:p>
    <w:p>
      <w:r>
        <w:t>C'est donc également à bon droit que l'autorité de première instance a prononcé le renvoi des recourants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cause, il y a lieu de mettre les frais à la charge des recourants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