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E-4878/2014 vom 11. Juni 2015</w:t>
      </w:r>
    </w:p>
    <w:p>
      <w:r>
        <w:t>Bundesverwaltungsgericht, 2015-06-11, DE</w:t>
      </w:r>
    </w:p>
    <w:p>
      <w:r>
        <w:rPr>
          <w:b/>
        </w:rPr>
        <w:t xml:space="preserve">Quelle: </w:t>
      </w:r>
      <w:r>
        <w:t>https://mcp.opencaselaw.ch/entscheid/bvger_E-4878_2014</w:t>
      </w:r>
    </w:p>
    <w:p>
      <w:r>
        <w:t>FR: TAF E-4878/2014 du 11 juin 2015</w:t>
      </w:r>
    </w:p>
    <w:p>
      <w:r>
        <w:t>IT: TAF E-4878/2014 del 11 giugno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asylsuchende Person erfüllt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[damaligen] Schweizerischen Asylrekurskommission (ARK) in EMARK 1995/2 E. 3a, 2006/18 E. 7-10, 2006/32 E. 8.7). Begründet ist die Furcht vor Verfolgung,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2005/21 E. 7 S. 193 f., EMARK 2004/1 E. 6a S. 9).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 4.1 Die Vorinstanz stellte fest, dass die Vorbringen des Beschwerdeführers den Anforderungen von Art. 7 AsylG an das Glaubhaftmachen nicht standhielten. So habe der Beschwerdeführer seine Verfolgungsgründe wenig substanziiert geschildert. Seine Aussagen seien sehr vage und gingen nicht darüber hinaus, "was jede andere Person problemlos in gleicher Weise nacherzählen könnte". Insbesondere fehle es seinen Angaben am in wahren Aussagen vorzufindenden Detailreichtum, weshalb seine Schilderungen stereotyp, realitätsfremd und konstruiert wirkten, besonders was die Demonstrationen betreffe, an denen er angeblich teilgenommen habe. Ausserdem seien ihm daraus keine asylrelevanten Nachteile erwachsen. Noch frappanter sei der Umstand, dass er weder über die PYD noch über das Engagement seines Vaters für diese Partei nähere Angaben habe machen können. Sein fehlendes politisches Bewusstsein erstaune bei einer Person mit einer fundierten Schulbildung und angesichts seiner angeblichen Teilnahme an und Organisation von Demonstrationen. Da der Druck seines Vaters, für die PYD zu kämpfen, angeblich fluchtbestimmend gewesen sei, hätten mit Fug umfassendere Kenntnisse und detailliertere Schilderungen erwartet werden können. Es widerspreche zudem der allgemeinen Erfahrung, dass sein Vater ihn zwar massiv unter Druck gesetzt habe, sich für die PYD zu engagieren, ihm aber trotzdem die Ausreise aus Syrien organisiert und finanziert haben solle. Aber auch das angebliche militärische Aufgebot habe er nicht plausibilisieren können. So habe er insbesondere widersprüchliche Angaben zum Zeitpunkt des Aufgebots oder den Umständen, wie er davon erfahren habe, gemacht. Die Furcht vor seinem Vater erscheine zudem, da er sie an der BzP mit keinem Wort erwähnt habe, nachgeschoben. Aufgrund seiner vagen, realitätsfremden, widersprüchlichen und teilweise nachgeschobenen Schilderungen könne zusammenfassend nicht geglaubt werden, dass er begründete Furcht vor einer Einberufung ins Militär gehabt habe oder davor, intensivem und asylbeachtlichem Druck durch seinen Vater respektive die PYD ausgesetzt zu werden. 4.2 Der Beschwerdeführer bekräftigt mit der Beschwerde seine bisherigen Vorbringen, setzt sich mit den von der Vorinstanz monierten Widersprüchen und weiteren Ungereimtheiten dagegen nicht auseinander und führt nichts an, was geeignet wäre, die vorinstanzlichen Erwägungen umzustossen. Als Beweismittel legt er verschiedene fremdsprachige Dokumente mit deutscher Übersetzung ins Recht, darunter ein als Haftbefehl bezeichnetes Schriftstück, datiert vom 10. Juni 2012, worin protokolliert wird, dass der Beschwerdeführer wegen seines Aufgebots gesucht worden sei, ein Bestätigungsschreiben der Mutter des Beschwerdeführers, ein Schriftstück betreffend seinen Vater, ausserdem Postquittungen und zwei Fotografien. 4.3 In ihrer Vernehmlassung führt die Vorinstanz aus, der Haftbefehl sei fälschungsanfällig und daher von geringem Beweiswert. Ausserdem sei die Aushebung nach den Angaben des Beschwerdeführers erst einen Monat später erfolgt respektive sogar über ein Jahr später als der Haftbefehl datiere. Der Beschwerdeführer habe auch nicht dargelegt, warum er dieses Dokument zuvor nicht erwähnt habe und warum sein Vater ausgerechnet dieses Dokument aufgehoben habe, während er etwa das Aufgebot selber angeblich weggeworfen habe. Nach seinen Angaben müsste er am 10. Juni 2012 noch zu Hause gewesen sein. Wenn er aber im Juni 2012 bereits gesucht worden wäre, so hätte er entgegen seinen Angaben nicht mehr an Demonstrationen teilnehmen können. Das Dokument stehe folglich sowohl in Widerspruch zum angegebenen Aushebungsdatum als auch zu den Asylvorbringen. Daher sei es als Beweismittel nicht geeignet. Beim Bestätigungsschreiben der Mutter handle es sich um ein reines Gefälligkeitsschreiben. Zur Fotografie von seinem Vater und das Bestätigungsschreiben betreffend den Vater führt die Vorinstanz aus, die Nähe des Vaters zur PYD sei nicht bestritten; daher komme diesen Beweismitteln ein geringer Beweiswert zu. Eine asylrelevante Verfolgung seitens des Vaters könnten diese Beweismittel nicht belegen, wenn auch Druckversuche seitens der Partei und des Vaters nicht auszuschliessen seien. Es bestünden keine Hinweise für ein Risikoprofil des Beschwerdeführers bezüglich einer Verfolgungsgefahr seitens der PYD. Der Beschwerdeführer habe sich den Druckversuchen seitens seines Vaters denn auch entziehen können, indem er sich zu seinem (...) begeben habe. Eine Verfolgung durch die PYD gehe dagegen weder aus den eingereichten Beweismitteln noch aus den Schilderungen hervor. Die Fotografie, welche die Teilnahme an einer Kundgebung in der Schweiz abbilde, betreffe eine undatierte und nicht näher bezeichnete Kundgebung und sei einziger Hinweis auf exilpolitisches Engagement. Daraus gehe kein qualifiziertes exilpolitisches Engagement hervor. 4.4 In seiner Replik setzt sich der Beschwerdeführer mit den Erwägungen der Vorinstanz in der Vernehmlassung nicht auseinander, ausser dass er vorbringt, bei der Datumsangabe auf dem Haftbefehl vom 10. Juni 2012 handle es sich um einen Fehler, das Datum müsse September respektive Oktober 2013 lauten. Trotz des falschen Datums entsprächen die Asylvorbringen "im Kern" der Wahrheit.</w:t>
      </w:r>
    </w:p>
    <w:p>
      <w:r>
        <w:rPr>
          <w:b/>
        </w:rPr>
        <w:t>E. 5</w:t>
      </w:r>
    </w:p>
    <w:p>
      <w:r>
        <w:t>Bei Würdigung der Akten ist der Vorinstanz darin zuzustimmen, dass die Vorbringen des Beschwerdeführers unglaubhaft sind, wobei es ihm auch auf Beschwerdeebene nicht gelingt, die Widersprüche und übrigen Ungereimtheiten auszuräumen. Insbesondere vermag seine Erklärung, bei der Datumsangabe auf dem Haftbefehl handle es sich um einen Fehler, nicht zu überzeugen, zumal die Vorinstanz in ihrer Vernehmlassung darauf hingewiesen hat, dass es sich dabei nicht um einen Schreibfehler handeln könne, da das Datum im Original dreimal aufgeführt worden sei, und der Beschwerdeführer dem nichts entgegenhält. Im Übrigen ist auf die zutreffenden Erwägungen der Vorinstanz zu verweisen. Dazu zu ergänzen ist, dass das Vorbringen, der Beschwerdeführer sei einerseits aus Furcht vor seinem Vater geflohen, in sich widersprüchlich ist, da der Vater angeblich seine Ausreise aus Syrien sowohl mitorganisiert als auch mitfinanziert hat. Ausserdem hat er an der BzP noch ausgesagt, der Vater sei auf ihn "sauer" gewesen, weil er keiner Arbeit nachgehe, und habe von ihm verlangt auszuziehen. Den protokollierten Schilderungen sind auch sonst keinerlei Hinweise auf eine Verfolgung von asylbeachtlicher Intensität seitens seines Vaters zu entnehmen. Was andrerseits das angebliche militärische Aufgebot betrifft, so ist ihm nicht ansatzweise gelungen, dazu klare und widerspruchsfreie Angaben zu machen. Das eingereichte Beweismittel hat, anstatt das Vorbringen zu beweisen, sogar noch weitere Verwirrung gestiftet. Die übrigen Beweismittel sind, sofern sie überhaupt beweistauglich sind, von geringem Beweiswert. Insgesamt sind seine Aussagen in den Protokollen sehr allgemein gehalten und beziehen sich hauptsächlich auf die allgemeine Lage im Lande. Da die Vorbringen unglaubhaft sind, erübrigt es sich, sie auf ihre flüchtlingsrechtliche Relevanz hin zu überprüfen. Nach dem Gesagten hat die Vorinstanz die Flüchtlingseigenschaft zu Recht verneint und das Asylgesuch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ist nicht zu beanstanden (Art. 44 AsylG; vgl. BVGE 2013/37 E 4.4).</w:t>
      </w:r>
    </w:p>
    <w:p>
      <w:r>
        <w:rPr>
          <w:b/>
        </w:rPr>
        <w:t>E. 7</w:t>
      </w:r>
    </w:p>
    <w:p>
      <w:r>
        <w:t>Nach dem Gesagten verletzt die angefochtene Verfügung Bundesrecht nicht und ist auch sonst nicht zu beanstanden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