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E-4871/2021 vom 11. August 2021</w:t>
      </w:r>
    </w:p>
    <w:p>
      <w:r>
        <w:t>Bundesverwaltungsgericht, 2021-08-11, DE</w:t>
      </w:r>
    </w:p>
    <w:p>
      <w:r>
        <w:rPr>
          <w:b/>
        </w:rPr>
        <w:t xml:space="preserve">Quelle: </w:t>
      </w:r>
      <w:r>
        <w:t>https://mcp.opencaselaw.ch/entscheid/bvger_E-4871_2021_d20210811</w:t>
      </w:r>
    </w:p>
    <w:p>
      <w:r>
        <w:t>FR: TAF E-4871/2021 du 11 août 2021</w:t>
      </w:r>
    </w:p>
    <w:p>
      <w:r>
        <w:t>IT: TAF E-4871/2021 del 11 agosto 2021</w:t>
      </w:r>
    </w:p>
    <w:p>
      <w:pPr>
        <w:pStyle w:val="Heading2"/>
      </w:pPr>
      <w:r>
        <w:t>Regeste</w:t>
      </w:r>
    </w:p>
    <w:p>
      <w:r>
        <w:t>Asyl und Wegweisung | Revision; Urteil des Bundesverwaltungsgerichts E-3129/2021 vom 11. August 2021</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w:t>
      </w:r>
    </w:p>
    <w:p>
      <w:r>
        <w:t>E-4871/2021 Seite 6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rufen den Revisionsgrund von Art. 123 Abs. 2 Bst. a BGG (neue Tatsachen und Beweismittel) an und zeigen ausserdem die Rechtzeitigkeit des Revisionsbegehrens auf. Auf das frist- und formge- recht eingereichte Revisionsgesuch ist – unter Vorbehalt der nachfolgen- den Erwägungen – einzutreten.</w:t>
      </w:r>
    </w:p>
    <w:p>
      <w:r>
        <w:rPr>
          <w:b/>
        </w:rPr>
        <w:t>E. 2.3</w:t>
      </w:r>
    </w:p>
    <w:p>
      <w:r>
        <w:t>Die folgenden Beweismittel sind erst nach dem Beschwerdeurteil E-3129/2021 vom 11. August 2021 entstanden: Die Kopie eines Beschlus- ses der Hauptstaatsanwaltschaft der Republik vom (…) September 2021 betreffend Aktenüberweisung in Türkisch (inkl. deutscher Übersetzung), die Kopie eines Schreibens der Sicherheitsdirektion der Provinz an das Er- mittlungsbüro gegen Mediendelikte vom (…) September 2021 in Türkisch (inkl. deutscher Übersetzung), die Kopie eines Unzuständigkeitsbeschlus- ses der Hauptstaatsanwaltschaft der Republik an die Generalstaatsanwalt- schaft in J._______ betreffend den Gesuchsteller vom (…) September 2021 sowie vom (…) November 2021 in Türkisch (inkl. deutscher Überset- zung), die Kopie einer Zusammenfassung des Ermittlungsberichts (inkl. deutscher Übersetzung), die Kopie eines Untersuchungsberichts der Di- rektion für Bekämpfung gegen Terrorismus vom (…) November 2021 (inkl. deutscher Übersetzung) und das Schreiben der türkischen Anwältin vom</w:t>
      </w:r>
    </w:p>
    <w:p>
      <w:r>
        <w:t>E-4871/2021 Seite 7 23. November 2021 (inkl. deutscher Übersetzung). Sie sind daher gemäss Art. 123 Abs. 2 Bst. a in fine BGG revisionsrechtlich unbeachtlich und auf das Revisionsgesuch ist diesbezüglich nicht einzutreten (vgl. BVGE 2013/22).</w:t>
      </w:r>
    </w:p>
    <w:p>
      <w:r>
        <w:rPr>
          <w:b/>
        </w:rPr>
        <w:t>E. 3</w:t>
      </w:r>
    </w:p>
    <w:p>
      <w:r>
        <w:t>Das Bundesverwaltungsgericht entscheidet über das Revisionsgesuch in der Besetzung mit drei Richterinnen oder Richtern (Art. 21 Abs. 1 VGG).</w:t>
      </w:r>
    </w:p>
    <w:p>
      <w:r>
        <w:rPr>
          <w:b/>
        </w:rPr>
        <w:t>E. 4.1</w:t>
      </w:r>
    </w:p>
    <w:p>
      <w:r>
        <w:t>Die revisionsweise vorgebrachten Tatsachen beziehungsweise Be- weismittel bilden nur dann einen Revisionsgrund im Sinne von Art. 123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BGE 134 III 47 E. 2.1; MOSER/BEUSCH/KNEUBÜHLER/KAYSER, a.a.O., S. 352 Rz. 5.47). Die neuen Tatsachen oder Beweismittel müssen sodann erheblich sein. Diese Erheblichkeit ist zu bejahen, wenn sie entweder die neu erfahrenen erheblichen Tatsachen belegen oder geeignet sind, dem Beweis von Tat- 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 SER/BEUSCH/KNEUBÜHLER/KAYSER, a.a.O., S. 352 Rz. 5.48).</w:t>
      </w:r>
    </w:p>
    <w:p>
      <w:r>
        <w:rPr>
          <w:b/>
        </w:rPr>
        <w:t>E. 4.2.1</w:t>
      </w:r>
    </w:p>
    <w:p>
      <w:r>
        <w:t>Die Gesuchstellenden reichten mit der Revisionseingabe zwei Straf- anzeigen vom (…) und (…) Juli 2021 gegen den Gesuchsteller ein, die be- legen sollen, dass ihm im Falle einer Rückkehr in die Türkei aufgrund der Facebook-Posts eine flüchtlingsrechtlich relevante Verfolgung durch die türkischen Behörden drohe. Im Falle einer Verurteilung aufgrund der Vor- würfe müsse er mit fünf Jahren Haft rechnen.</w:t>
      </w:r>
    </w:p>
    <w:p>
      <w:r>
        <w:rPr>
          <w:b/>
        </w:rPr>
        <w:t>E. 4.2.2</w:t>
      </w:r>
    </w:p>
    <w:p>
      <w:r>
        <w:t>Die Rechtzeitigkeit der Beibringung der zwei von einer Privatperson erstatteten Anzeigen gegen den Gesuchsteller vom (…) und (…) Juli 2021 wegen Propaganda für eine terroristische Organisation und Beleidigung</w:t>
      </w:r>
    </w:p>
    <w:p>
      <w:r>
        <w:t>E-4871/2021 Seite 8 des Präsidenten der Republik Türkei wird in der Revisionseingabe in ge- nügender Weise dargelegt. Das Bundesverwaltungsgericht erachtet diese jedoch für sich betrachtet als offensichtlich nicht erheblich im revisionsrechtlichen Sinne. Die Straf- anzeigen sind nicht geeignet, die überwiegende Wahrscheinlichkeit einer daraus folgenden tatsächlichen flüchtlingsrechtlich relevanten Verfolgung des Gesuchstellers durch die türkischen Behörden zu belegen. Damit ist nämlich entgegen der revisionsweise vertretenen Meinung noch nicht er- stellt, dass die türkischen Behörden auch tatsächlich ein Verfahren gegen den Gesuchsteller eröffnen werden, welches schliesslich auch noch in ei- ner Verurteilung mündet, welche als asylrechtlich von Belang angesehen werden muss. Vor diesem Hintergrund erübrigen sich weitere Ausführun- gen zu den Vorbringen der Gesuchstellenden betreffend mögliche Konse- quenzen eines Strafverfahrens gegen den Gesuchsteller sowie zur Echt- heit der eingereichten Anzeigen.</w:t>
      </w:r>
    </w:p>
    <w:p>
      <w:r>
        <w:rPr>
          <w:b/>
        </w:rPr>
        <w:t>E. 4.3</w:t>
      </w:r>
    </w:p>
    <w:p>
      <w:r>
        <w:t>Das Gesuch um Revision des Urteils des Bundesverwaltungsgerichts E-3129/2021 vom 11. August 2021 ist demzufolge abzuweisen, soweit da- rauf einzutreten ist.</w:t>
      </w:r>
    </w:p>
    <w:p>
      <w:r>
        <w:rPr>
          <w:b/>
        </w:rPr>
        <w:t>E. 5</w:t>
      </w:r>
    </w:p>
    <w:p>
      <w:r>
        <w:t>Bei diesem Ausgang des Verfahrens sind die Kosten den Gesuchstellen- den aufzuerlegen (Art. 63 Abs. 1 VwVG) und auf insgesamt Fr. 1'500.– festzusetzen (Art. 1‒3 des Reglements vom 21. Februar 2008 über die Kosten und Entschädigungen vor dem Bundesverwaltungsgericht [VGKE, SR 173.320.2]). Der einbezahlte Kostenvorschuss wird zur Begleichung der Verfahrenskosten verwendet. (Dispositiv nächste Seite)</w:t>
      </w:r>
    </w:p>
    <w:p>
      <w:r>
        <w:t>E-4871/2021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