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E-4871/2007 vom 9. November 2010</w:t>
      </w:r>
    </w:p>
    <w:p>
      <w:r>
        <w:t>Bundesverwaltungsgericht, 2010-11-09, DE</w:t>
      </w:r>
    </w:p>
    <w:p>
      <w:r>
        <w:rPr>
          <w:b/>
        </w:rPr>
        <w:t xml:space="preserve">Quelle: </w:t>
      </w:r>
      <w:r>
        <w:t>https://mcp.opencaselaw.ch/entscheid/bvger_E-4871_2007</w:t>
      </w:r>
    </w:p>
    <w:p>
      <w:r>
        <w:t>FR: TAF E-4871/2007 du 9 novembre 2010</w:t>
      </w:r>
    </w:p>
    <w:p>
      <w:r>
        <w:t>IT: TAF E-4871/2007 del 9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48 Abs. 1 VwVG).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50 VwVG sowie Art. 105 AsylG i.V.m. Art. 37 VGG und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3.3</w:t>
      </w:r>
    </w:p>
    <w:p>
      <w:r>
        <w:t>Der Beschwerdeführer brachte in der Beschwerdeschrift vor, der Dolmetscher bei der Erstbefragung habe ein marokkanisches Arabisch gesprochen und deshalb sei es zu Verständnisschwierigkeiten und zu Fehlübersetzungen gekommen. Gemäss Erkenntnissen des Bundesverwaltungsgerichts existieren in der arabischen Sprache - wie in anderen Sprachen auch - je nach geographischer Lage verschiedene Akzente und Dialekte. Das Arabisch in Syrien unterscheidet sich somit vom gesprochenen Arabisch in Marokko. Es ist grundsätzlich möglich, dass gewisse Wörter in einem anderen Dialekt entweder gar nicht existieren, anders ausgesprochen werden oder eine andere Bedeutung innehaben. Dennoch ist festzuhalten, dass es sich bei diesen Verschiedenheiten nicht um andere Sprachen, sondern lediglich um verschiedene Dialekte ein und derselben Sprache respektive um Ausspracheunterschiede handelt. Eine Kommunikation zwischen den verschiedenen Ausprägungen des gesprochenen Arabisch ist jedoch ohne grössere Mühe möglich. Aus den Befragungsprotokollen sind denn auch keine Hinweise auf Verständigungsprobleme ersichtlich. Im Übrigen ist festzuhalten, dass der Beschwerdeführer bestätigte, den Dolmetscher verstanden zu haben. Seine weitere Erklärung, er sei durcheinander gewesen und habe deshalb Fehler in seinen Ausführungen gemacht, muss als Schutzbehauptung gewertet werden, zumal sich auch diesbezüglich keine konkreten Hinweise aus den Akten ergeben. Diese Erklärung hat zudem keinen Zusammenhang mit einer allfälligen Dolmetscherproblematik.</w:t>
      </w:r>
    </w:p>
    <w:p>
      <w:r>
        <w:rPr>
          <w:b/>
        </w:rPr>
        <w:t>E. 3.4</w:t>
      </w:r>
    </w:p>
    <w:p>
      <w:r>
        <w:t>In seiner Beschwerde machte der Beschwerdeführer sodann geltend, das Anführen seines Deutschlandaufenthalts erstmals bei der kantonalen Anhörung sei auf seine Angst, nach Deutschland und demzufolge später nach Syrien zurückgewiesen zu werden, zurückzuführen. Diese Erklärung vermag nicht zu überzeugen. Spätestens zu Beginn der kantonalen Anhörung wurde er auf seine Mitwirkungspflichten und insbesondere auch auf seine Wahrheitspflicht hingewiesen (A8, S. 2). Festzustellen ist zudem, dass der Beschwerdeführer bei der ergänzenden Anhörung - angesprochen auf den erstmals bei der kantonalen Anhörung genannten Deutschlandaufenthalt - angab, bei der Erstbefragung nicht danach gefragt worden zu sein (A14, S. 4). Diese Aussage ist aber sowohl in Bezug auf die Empfangszentrumsbefragung (A1, S. 6) als auch hinsichtlich des Anfangs der Kantonsbefragung (A8, S.9) aktenwidrig, wo er konkret nach Aufenthalten im Ausland gefragt wurde und diese Frage jeweils verneinte. Weitergehend fällt auf, dass er in seiner Beschwerdeschrift die Angst vor einer Rückkehr nach Deutschland damit begründete, sein Asylgesuch sei dort abgewiesen und er zur Rückkehr nach Syrien gezwungen worden, was aber im Widerspruch zur Aussage bei der ergänzenden Anhörung steht, er habe während des hängigen Rekursverfahrens das Land freiwillig verlassen (A14, S.4), nachdem er bei der Kantonsbefragung noch angegeben hatte, dass das Asylverfahren in Deutschland abgeschlossen gewesen sei, er in der Folge Deutschland habe verlassen müssen, die Polizei ihn deshalb ohne Vorwarnung auf die syrische Botschaft geführt habe und er schliesslich am 17. Februar 2004 aus Deutschland ausgereist sei (A8, S. 15). Aktenkundig ist diesbezüglich, dass der Beschwerdeführer in Deutschland ein Asylgesuch gestellt hatte, welches am 3. Juni 2002 abgelehnt wurde, und er dort seit dem 30. Juni 2004 als verschwunden galt. Der Beschwerdeführer bestritt zudem in seiner Beschwerde, jemals gesagt zu haben, er habe bei seiner Rückkehr nach Syrien ein Flugticket gekauft und seinen Pass präsentiert. Diese Erklärung erachtet das Gericht als klar aktenwidrig, zumal der Beschwerdeführer bei der kantonalen Anhörung angegeben hat, er habe einen für sechs Monate gültigen syrischen Pass gehabt, diesen bei einem Freund deponiert, später dort wieder abgeholt und ein Flugticket gekauft, woraufhin er alleine nach Syrien gereist sei (A8, S. 15f.). Diese Aussagen stehen im Übrigen wiederum in klarem Widerspruch zu denjenigen bei der ergänzenden Anhörung, wo er erklärte, er sei mit einem libanesischen Pass gereist, den ihm sein Schlepper besorgt habe (A14/ S.3). Aufgrund dieser massiven Ungereimtheiten in seinen Aussagen ist in Übereinstimmung mit der Vorinstanz davon auszugehen, dass der Beschwerdeführer nach Ablehnung des Asylgesuches durch Deutschland nicht nach Syrien zurückgekehrt ist.</w:t>
      </w:r>
    </w:p>
    <w:p>
      <w:r>
        <w:rPr>
          <w:b/>
        </w:rPr>
        <w:t>E. 3.5</w:t>
      </w:r>
    </w:p>
    <w:p>
      <w:r>
        <w:t>Zu den weiteren Unglaubhaftigkeitselementen äussert sich der Beschwerdeführer bezeichnenderweise nicht konkret, sondern beharrt im Wesentlichen lediglich auf dem Wahrheitsgehalt seiner Vorbringen und der damit einhergehenden Verfolgungsgefahr. Es erübrigt sich daher, noch näher auf seine Ausführungen in der Beschwerde einzugehen, da sie am Ergebnis nichts zu ändern vermögen.</w:t>
      </w:r>
    </w:p>
    <w:p>
      <w:r>
        <w:rPr>
          <w:b/>
        </w:rPr>
        <w:t>E. 3.6</w:t>
      </w:r>
    </w:p>
    <w:p>
      <w:r>
        <w:t>Zusammenfassend folgt, dass das BFM die Asylvorbringen des Beschwerdeführers zu Recht und mit zutreffender Begründung, worauf hier verwiesen wird, als unglaubhaft im Sinne von Art. 7 AsylG erachtete. Er erfüllt somit die Voraussetzungen zur Zuerkennung der Flüchtlingseigenschaft nicht, weshalb die Vorinstanz das Asylgesuch zu Recht abgelehnt hat.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 Vorliegend ist festzustellen, dass der Beschwerdeführer weder über eine ausländerrechtliche Aufenthaltsbewilligung, noch über einen Anspruch auf Erteilung einer solchen, verfügt. Die Wegweisung wurde demnach zu Recht angeordnet (Art. 44 Abs. 1 AsylG; EMARK 2001 Nr. 21).</w:t>
      </w:r>
    </w:p>
    <w:p>
      <w:r>
        <w:rPr>
          <w:b/>
        </w:rPr>
        <w:t>E. 4.2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4.3</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4.4.1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4.4.2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Syrien ist demnach unter dem Aspekt von Art. 5 AsylG rechtmässig. Sodann ergeben sich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unter Hinweis auf die vorstehenden Erwägungen zum Asylpunkt nicht gelungen.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4.5.1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4.5.2</w:t>
      </w:r>
    </w:p>
    <w:p>
      <w:r>
        <w:t>In Syrien herrscht kein Krieg, Bürgerkrieg oder eine Situation allgemeiner Gewalt. Vorliegend sind den Akten auch keine Anhaltspunkte für individuelle Unzumutbarkeitskriterien zu entnehmen. Der - soweit den Akten zu entnehmen ist - gesunde und ledige Beschwerdeführer verbrachte die prägenden Kinder- und Jugendjahre in Syrien, wo er auch die Schule besuchte. Gemäss seinen Angaben besitzt sein Vater eine L._______, in welcher er eine zeitlang als M._______gearbeitet haben soll. Es ist deshalb anzunehmen, dass sich der Beschwerdeführer in Syrien wirtschaftlich wieder integrieren kann. Gemäss seinen Angaben leben überdies seine Eltern sowie eine Schwester nach wie vor dort. Vor diesem Hintergrund ist davon auszugehen, dass der Beschwerdeführer in seinem Heimatland über ein soziales Beziehungsnetz verfügt, welches ihm eine Reintegration erleichtern kann. Blosse soziale und wirtschaftliche Schwierigkeiten, von denen die ansässige Bevölkerung im Allgemeinen betroffen ist, genügen nicht, um eine Gefahr im Sinne von Art. 83 Abs. 4 AuG darzustellen (vgl. die weiterhin zutreffende Praxis der ARK im EMARK 1996 Nr. 2 S. 12f. und EMARK 2005 Nr. 24 E. 10.1 S. 215). Nach dem Gesagten ist der Vollzug der Wegweisung somit auch als zumutbar zu bezeichnen.</w:t>
      </w:r>
    </w:p>
    <w:p>
      <w:r>
        <w:rPr>
          <w:b/>
        </w:rPr>
        <w:t>E. 4.6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w:t>
      </w:r>
    </w:p>
    <w:p>
      <w:r>
        <w:t>Zusammenfassend ergibt sich, dass das BFM den Vollzug der Wegweisung zu Recht als zulässig, zumutbar und möglich erachtet hat. Die beantragte Anordnung der vorläufigen Aufnahme gestützt auf Art. 83 Abs. 3 und 4 AuG fällt somit nicht in Betracht.</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Der Beschwerdeführer wurde mit Verfügung vom 20. Juli 2007 aufgefordert, umgehend eine Fürsorgebestätigung nachzureichen, was er aber in der Folge unterliess. Im Übrigen ergibt sich aus den Akten, dass er zur Zeit erwerbstätig ist. Das mit der Beschwerde gestellte Gesuch um Gewährung der unentgeltlichen Rechtspflege gemäss Art. 65 Abs. 1 VwVG ist somit abzuweisen, da die kumulativen Voraussetzungen (Bedürftigkeit, Nichtaussichtslosigkeit) für die Gewährung der unentgeltlichen Rechtspflege nicht erfüllt sind.</w:t>
      </w:r>
    </w:p>
    <w:p>
      <w:r>
        <w:rPr>
          <w:b/>
        </w:rPr>
        <w:t>E. 8</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