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E-4861/2015 vom 11. Dezember 2015</w:t>
      </w:r>
    </w:p>
    <w:p>
      <w:r>
        <w:t>Bundesverwaltungsgericht, 2015-12-11, DE</w:t>
      </w:r>
    </w:p>
    <w:p>
      <w:r>
        <w:rPr>
          <w:b/>
        </w:rPr>
        <w:t xml:space="preserve">Quelle: </w:t>
      </w:r>
      <w:r>
        <w:t>https://mcp.opencaselaw.ch/entscheid/bvger_E-4861_2015</w:t>
      </w:r>
    </w:p>
    <w:p>
      <w:r>
        <w:t>FR: TAF E-4861/2015 du 11 décembre 2015</w:t>
      </w:r>
    </w:p>
    <w:p>
      <w:r>
        <w:t>IT: TAF E-4861/2015 del 11 dicembre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w:t>
      </w:r>
    </w:p>
    <w:p>
      <w:r>
        <w:rPr>
          <w:b/>
        </w:rPr>
        <w:t>E. 5.2</w:t>
      </w:r>
    </w:p>
    <w:p>
      <w:r>
        <w:t>Vorliegend ist in Übereinstimmung mit den diesbezüglichen Ausführungen auf Beschwerdeebene (insbesondere in der Eingabe vom 7. September 2015) festzustellen, dass es die Vorinstanz unterlassen hat, sich mit der Argumentation in der Eingabe vom 20. Juli 2015, die Überstellungsfrist nach Italien sei abgelaufen, und mit derjenigen in der Eingabe vom 28. Juli 2015, die Beschwerdeführerin sei aufgrund ihrer Zeugenaussage bei der UNO-Kommission für Menschenrechte in Italien gefährdet und ihr Schutz sei in der Schweiz besser gewährleistet als in diesem Signatarstaat, ausserdem habe sich der Gesundheitszustand von A._______ in letzter Zeit schwerwiegend verschlechtert, und B._______ sei mit der Betreuung (...) Mutter überfordert, in ernsthafter Weise oder überhaupt auseinanderzusetzen und in der Entscheidfindung zu berücksichtigen. Eine rechtliche Qualifizierung der beiden Eingaben unterbleibt in der Verfügung vom 30. Juli 2015 gänzlich, und es wird auch nicht ansatzweise begründet, inwiefern kein Anspruch auf eine (materielle) Behandlung der Vorbringen unter dem Blickwinkel eines Wiedererwägungsgesuchs respektive eines Mehrfachgesuchs besteht. Dem Dispositiv kann auch keine konkrete Anordnung im Einzelfall im Sinne von Art. 5 VwVG entnommen werden, sondern es wird lediglich ohne Bezugnahme auf die Eingaben vom 20. Juli und 28. Juli 2015 festgestellt, der Entscheid vom 8. März 2013 sei rechtskräftig und vollziehbar.</w:t>
      </w:r>
    </w:p>
    <w:p>
      <w:r>
        <w:rPr>
          <w:b/>
        </w:rPr>
        <w:t>E. 5.3</w:t>
      </w:r>
    </w:p>
    <w:p>
      <w:r>
        <w:t>Damit steht fest, dass sich die Vorinstanz in der Abfassung der angefochtenen Verfügung nicht mit den Vorbringen der Beschwerdeführenden und den zu deren Stützung eingereichten Beweismitteln befasst hat, womit sie ihre Begründungspflicht und ihren Anspruch auf rechtliches Gehör verletzt hat. Zudem hat sie mit dieser Gehörsverletzung auch den Sachverhalt unvollständig festgestellt. Vorliegend handelt es sich um eine schwere Verletzung des rechtlichen Gehörs, weshalb eine Heilung auf Beschwerdeebene nicht in Betracht fällt.</w:t>
      </w:r>
    </w:p>
    <w:p>
      <w:r>
        <w:rPr>
          <w:b/>
        </w:rPr>
        <w:t>E. 5.4</w:t>
      </w:r>
    </w:p>
    <w:p>
      <w:r>
        <w:t>Nach dem Gesagten ist die Beschwerde gutzuheissen. Die Verfügung vom 30. Juli 2015 ist aufzuheben und die Sache zur Gewährung des rechtlichen Gehörs sowie zur vollständigen Feststellung des Sachverhaltes und anschliessenden Neubeurteilung an das SEM zurückzuweisen.</w:t>
      </w:r>
    </w:p>
    <w:p>
      <w:r>
        <w:rPr>
          <w:b/>
        </w:rPr>
        <w:t>E. 5.5</w:t>
      </w:r>
    </w:p>
    <w:p>
      <w:r>
        <w:t>Angesichts der Rückweisung der Sache an die Vorinstanz erübrigt es sich, auf die weiteren Vorbringen auf Beschwerdeebene, auf den Antrag auf Einholen eines ärztlichen Berichts zum Gesundheitszustand von B._______ und auf die eingereichten Dokumente einzugehen, weil sie ebenfalls Gegenstand des wiederaufzunehmenden erstinstanzlichen Verfahrens sein werden und die Vorinstanz sich damit zu befassen haben wird.</w:t>
      </w:r>
    </w:p>
    <w:p>
      <w:r>
        <w:rPr>
          <w:b/>
        </w:rPr>
        <w:t>E. 6.1</w:t>
      </w:r>
    </w:p>
    <w:p>
      <w:r>
        <w:t>Bei diesem Ausgang des Verfahrens sind keine Kosten zu erheben (Art. 63 Abs. 1 und 2 VwVG).</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800.-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