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E-4860/2024 vom 24. Februar 2026</w:t>
      </w:r>
    </w:p>
    <w:p>
      <w:r>
        <w:t>Bundesverwaltungsgericht, 2026-02-24, DE</w:t>
      </w:r>
    </w:p>
    <w:p>
      <w:r>
        <w:rPr>
          <w:b/>
        </w:rPr>
        <w:t xml:space="preserve">Quelle: </w:t>
      </w:r>
      <w:r>
        <w:t>https://mcp.opencaselaw.ch/entscheid/bvger_E-4860_2024</w:t>
      </w:r>
    </w:p>
    <w:p>
      <w:r>
        <w:t>FR: TAF E-4860/2024 du 24 février 2026</w:t>
      </w:r>
    </w:p>
    <w:p>
      <w:r>
        <w:t>IT: TAF E-4860/2024 del 24 febbraio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105 AsylG [SR 142.31];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die Beschwerdeführerinnen sind zur Einreichung der Beschwerde legitimiert (Art. 105 und Art. 108 Abs. 1 AsylG; Art. 48 Abs. 1 sowie Art. 52 Abs. 1 VwVG). Auf die Beschwerde ist einzutreten.</w:t>
      </w:r>
    </w:p>
    <w:p>
      <w:r>
        <w:rPr>
          <w:b/>
        </w:rPr>
        <w:t>E. 1.4</w:t>
      </w:r>
    </w:p>
    <w:p>
      <w:r>
        <w:t>Der Beschwerde kommt von Gesetzes wegen aufschiebende Wirkung zu (Art. 55 Abs. 1 und 2 VwVG) und die Vorinstanz hat diese auch nicht entzogen, womit auf die Anträge auf Erteilung der aufschiebenden Wirkung und superprovisorische Aussetzung des Wegweisungsvollzugs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der betroffenen Person zugänglich ist, wobei von einem Staat nicht erwartet werden kann, dass er jederzeit präventiv in alle Lebensbereiche seiner Bürger eingreifen kann (vgl. zu dieser sogenannten Schutztheorie BVGE 2011/51 E. 7.1-7.4, 2008/12 E. 7.2.6.2, 2008/4 E. 5.2).</w:t>
      </w:r>
    </w:p>
    <w:p>
      <w:r>
        <w:rPr>
          <w:b/>
        </w:rPr>
        <w:t>E. 5.1</w:t>
      </w:r>
    </w:p>
    <w:p>
      <w:r>
        <w:t>Zur Begründung der angefochtenen Verfügung hält die Vorinstanz im Wesentlichen fest, dass vorliegend von der Schutzfähigkeit und Schutzwilligkeit der türkischen Behörden auszugehen sei. Die Türkei verfüge über eine funktionierende und effiziente staatliche Infrastruktur. Es liege sodann ausserhalb der Möglichkeiten eines Staates, jeden denkbaren Übergriff präventiv zu verhindern. Hieraus könne jedoch nicht geschlossen werden, dass das Ersuchen um staatlichen Schutz von vornherein ein nutzloses Unterfangen sei. Die Beschwerdeführerin habe im Zusammenhang mit den geltend gemachten Übergriffen durch ihren Ehemann nie die Hilfe der türkischen Behörden beansprucht. Dabei wäre es ihr zumutbar und möglich gewesen, sich diesbezüglich an verschiedene Behörden in der Türkei zu wenden. Überdies sei ihr - insbesondere nach der Trennung von ihrem Ehemann - die Möglichkeit offen gestanden, ihren Wohnsitz in eine westliche Region der Türkei zu verlegen, wo die behördliche Schutzinfrastruktur besser ausgebaut und der Schutzwille grundsätzlich gegeben sei. Daran änderten auch die Beziehungen ihres Bruders zur lokalen Polizei nichts. Zudem könne sie sich auch bezüglich der Befürchtung, ihr Bruder wolle sie umbringen, an die schutzfähigen und schutzwilligen türkischen Behörden wenden.</w:t>
      </w:r>
    </w:p>
    <w:p>
      <w:r>
        <w:rPr>
          <w:b/>
        </w:rPr>
        <w:t>E. 5.2</w:t>
      </w:r>
    </w:p>
    <w:p>
      <w:r>
        <w:t>In der Beschwerde wird im Wesentlichen eingewandt, dass im vorliegenden Fall die Türkei nicht als schutzfähig und schutzwillig zu erachten sei. Die Beschwerdeführerin habe entgegen den vorinstanzlichen Ausführungen die Polizei bereits um Hilfe ersucht, diese aber nicht erhalten. Zudem widerspreche sich die Vorinstanz, indem sie einerseits eingestehe, dass in den östlichen Gebieten der Türkei nur zögerlicher oder unzureichender behördlicher Schutz vorhanden sei und andererseits ausführe, dass die türkischen Behörden entschlossen seien, häusliche Gewalt zu bekämpfen und die Schutzfähigkeit und Schutzwilligkeit der türkischen Behörden gegeben sei.</w:t>
      </w:r>
    </w:p>
    <w:p>
      <w:r>
        <w:rPr>
          <w:b/>
        </w:rPr>
        <w:t>E. 6.1</w:t>
      </w:r>
    </w:p>
    <w:p>
      <w:r>
        <w:t>Das Bundesverwaltungsgericht gelangt zum Schluss, dass die Vorinstanz die Flüchtlingseigenschaft der Beschwerdeführerin und ihrer Tochter zu Recht verneint und das Asylgesuch abgelehnt hat. Es hat ausführlich und mit zutreffender Begründung dargelegt, weshalb die von der Beschwerdeführerin geschilderten Ereignisse sowie Beweismittel die Anforderungen an die Flüchtlingseigenschaft nicht erfüllen. Darauf kann mit den nachfolgenden Ergänzungen verwiesen werden:</w:t>
      </w:r>
    </w:p>
    <w:p>
      <w:r>
        <w:rPr>
          <w:b/>
        </w:rPr>
        <w:t>E. 6.2</w:t>
      </w:r>
    </w:p>
    <w:p>
      <w:r>
        <w:t>Zunächst ist festzuhalten, dass die geltend gemachten Übergriffe durch den Ehemann und den Bruder der Beschwerdeführerin von privaten Dritten ausgehen und der türkische Staat gemäss Rechtsprechung des Bundesverwaltungsgerichts auch in Bezug auf häusliche Gewalt als schutzfähig sowie schutzwillig gilt (vgl. Urteil des BVGer D-5206/2025 vom 30. Oktober 2025 E. 6.3.2 m.w.H.). Daran vermag der nicht näher substantiierte Einwand in der Beschwerde, es drohe der Beschwerdeführerin bei einer Rückkehr in die Türkei erneut eine unmittelbare Gefahr durch ihren Bruder und ihren Ehemann, wobei letzterer über eine einflussreiche Familie verfüge, nichts zu ändern. Sollten sie der Ehemann und der Bruder nach einer Rückkehr erneut bedrohen, wäre es ihr zuzumuten, sich bei den zuständigen Behörden zu melden und die Hilfe staatlicher Schutzeinrichtungen und rechtlicher Anlaufstellen in Anspruch zu nehmen. Aus den hierzu vorgebrachten pauschalen Einwänden in der Rechtsmitteleingabe kann die Beschwerdeführerin nichts zu ihren Gunsten ableiten. Insbesondere ist entgegen ihren Ausführungen aus den Akten nicht ersichtlich, dass sie bezüglich der Übergriffe ihres Ehemannes die Polizei vergeblich um Hilfe ersucht hatte. Vielmehr verneinte sie die Fragen, ob sie sich bezüglich der Übergriffe durch ihren Ehemann an die Polizei oder irgendeine Stelle gewendet habe (A32 F20, F26). Auch nahm die Vorinstanz entgegen den Ausführungen der Beschwerdeführerin nicht an, ihr Bruder werde ihr bei der Suche nach polizeilichem Schutz gegen ihren Ehemann behilflich sein, sondern sie hat vielmehr richtigerweise feststellt, sie selbst könne sich - gegebenenfalls mit der Unterstützung eines Anwalts oder der drei Freundinnen - sowohl bezüglich ihres Ehemannes als auch ihres Bruders an die türkischen Behörden wenden. Sodann handelt es sich bei der geltend gemachten Bedrohung mit hoher Wahrscheinlichkeit um ein lokal begrenztes Problem, welchem sich die Beschwerdeführerin mit ihrer Tochter durch ein innerstaatliches Ausweichen entziehen kann. Eine innerstaatliche Aufenthaltsalternative ist den Beschwerdeführerinnen zuzumuten, indem sie sich andernorts - namentlich in einer der zahlreichen anderen Grossstädte der Türkei - niederlassen. Diesbezüglich ist festzuhalten, dass der von den Beschwerdeführerinnen in der Rechtsmitteleingabe geltend gemachte Widerspruch, wonach die Vorinstanz einerseits von einem nur zögerlichen oder unzureichenden behördlichen Schutz in den südöstlichen Teilen der Türkei und andererseits von der grundsätzlichen Schutzfähigkeit sowie Schutzwilligkeit der türkischen Behörden ausgehe, bei genauerer Betrachtung keiner ist. Nämlich geht die Vorinstanz - wie oben festgehalten zu Recht - von der grundsätzlichen Schutzfähigkeit und Schutzwilligkeit aus (angefochtene Verfügung S. 5) und hält lediglich zur Begründung einer innerstaatlichen Aufenthaltsalternative richtigerweise fest, im Südosten der Türkei sei ein unzureichender Schutz in ähnlich gelagerten Fällen nicht «gänzlich auszuschliessen» und nicht derselbe wie in den westlichen Teilen der Türkei, weshalb die Beschwerdeführerinnen nebst einer Schutzsuche in ihrer Heimatregion auch ihren Wohnsitz in eine westlichere Region verlegen könnten (a.a.O. S. 3). Schliesslich kann mangels festgestellter Asylrelevanz die Überprüfung der von den Beschwerdeführerinnen auf Beschwerdestufe monierten vorinstanzlichen Glaubhaftigkeitsprüfung offenbleiben.</w:t>
      </w:r>
    </w:p>
    <w:p>
      <w:r>
        <w:rPr>
          <w:b/>
        </w:rPr>
        <w:t>E. 6.3</w:t>
      </w:r>
    </w:p>
    <w:p>
      <w:r>
        <w:t>Zusammenfassend ist festzustellen, dass die türkischen Behörden hinsichtlich der von den Beschwerdeführerinnen geltend gemachten privaten Behelligung durch Dritte als schutzwillig und schutzfähig zu erachten und ihnen die Inanspruchnahme dieses Schutzes zumutbar ist. Die Vorinstanz hat zu Recht die Flüchtlingseigenschaft der Beschwerdeführerinnen verneint und demnach auch die Asylgesuche zu Recht abgelehnt.</w:t>
      </w:r>
    </w:p>
    <w:p>
      <w:r>
        <w:rPr>
          <w:b/>
        </w:rPr>
        <w:t>E. 6.4</w:t>
      </w:r>
    </w:p>
    <w:p>
      <w:r>
        <w:t>Die Beschwerdeführerinnen stellen sodann in der Rechtsmitteleingabe einen Rückweisungsantrag. Sie machen geltend, die Vorinstanz habe den rechtserheblichen - insbesondere den medizinischen - Sachverhalt unrichtig und unvollständig festgestellt. Die Vorinstanz habe es unterlassen, eingehende Abklärungen zur Vulnerabilität der Beschwerdeführerin zu tätigen und die Situation in der Türkei anhand ihrer Aussagen zu würdigen. Der Rückweisungsantrag ist offensichtlich nicht begründet. Die Vorinstanz hat den vorliegenden Sachverhalt - insbesondere auch den medizinischen - rechtsgenüglich abgeklärt. Abgesehen von den vom SEM ausführlich gewürdigten Arztberichten haben die Beschwerdeführerinnen keine weiteren Unterlagen eingereicht, was in ihrer Mitwirkungspflicht (Art. 8 Asyl) gelegen hätte. Zudem hat sie sich in der angefochtenen Verfügung nachvollziehbar sowie hinreichend differenziert mit den zentralen Vorbringen der Beschwerdeführerin auseinandergesetzt. Auch ergeben sich aus den Akten keine Rückweisungsgründe, weshalb der Antrag abzuweisen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die Beschwerdeführinnen die Flüchtlingseigenschaft nicht erfüllen, findet der in Art. 5 AsylG, Art. 25 Abs. 2 BV und Art. 33 Abs. 1 des Abkommens vom 28. Juli 1951 über die Rechtsstellung der Flüchtlinge [FK, SR 0.142.30]) verankerte Grundsatz der flüchtlingsrechtlichen Nichtrückschiebung keine Anwendung. Sodann ergeben sich weder aus seinen Aussagen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die durchaus teilweise als prekär zu bezeichnen ist, lässt den Wegweisungsvollzug zum heutigen Zeitpunkt nicht als unzulässig erscheinen.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von einer Situation allgemeiner Gewalt oder bürgerkriegsähnlichen Verhältnissen auszugehen (vgl. Referenzurteil BVGer E-4103/2024 vom 8. November 2024 E. 13.2 und 13.4 m.w.H.).</w:t>
      </w:r>
    </w:p>
    <w:p>
      <w:r>
        <w:rPr>
          <w:b/>
        </w:rPr>
        <w:t>E. 8.3.3</w:t>
      </w:r>
    </w:p>
    <w:p>
      <w:r>
        <w:t>Die Vorinstanz hält in individueller Hinsicht fest, die Beschwerdeführerin sei eine junge, körperlich gesunde Frau im arbeitsfähigen Alter. Ihre Ausreise liege nur etwa ein Jahr zurück, sie spreche fliessend Türkisch, verfüge über eine gymnasiale Ausbildung sowie Arbeitserfahrung und sei bereits vor der Ausreise allein für ihren Unterhalt und denjenigen ihres Kindes aufgekommen. Weiter habe sie im Rahmen der freiwilligen Rückkehr angegeben, sie wolle nach F._______ gehen, weshalb es ihr zuzumuten sei, sich dort niederzulassen. Selbst wenn sie sich nicht auf die Unterstützung ihrer Familie oder ihres Ehemannes verlassen könne, verfüge sie dennoch mit ihren drei Freundinnen über ein soziales Netz, welches sie bei einer Rückkehr unterstützen könne. Auch seien ihre psychischen Beschwerden bereits in der Türkei behandelt worden. Die Türkei verfüge über ein gut ausgebautes Gesundheits- und Krankenversicherungssystem und die Beschwerdeführerin könne sich für ihre psychischen Beschwerden auch zukünftig dort behandeln lassen. Dem wird in der Beschwerde nichts Substantiiertes entgegengehalten und die vorinstanzlichen Erwägungen sind vollumfänglich zu bestätigen. Ferner sind auch unter dem Aspekt des Kindeswohls im Sinne von Art. 3 Abs. 1 des Übereinkommens über die Rechte des Kindes (KRK; SR 0.107) keine Vollzugshindernisse ersichtlich (vgl. die zu beachtenden Kriterien in BVGE 2009/51 E. 5.6 und 2009/28 E. 9.3.2). Die Tochter der Beschwerdeführerin ist erst (...) Jahre alt und es ist daher sowie aufgrund der relativ kurzen Aufenthaltsdauer offenkundig nicht davon auszugehen, dass eine eigenständige Integration in die schweizerische Lebenswirklichkeit bereits stattgefunden hat, zumal ihr Umfeld noch stark von ihrer Mutter geprägt ist, mit welcher sie in die Türkei zurückkehren wird. Nach dem Gesagten erweist sich der Vollzug der Wegweisung auch als zumutbar.</w:t>
      </w:r>
    </w:p>
    <w:p>
      <w:r>
        <w:rPr>
          <w:b/>
        </w:rPr>
        <w:t>E. 8.4</w:t>
      </w:r>
    </w:p>
    <w:p>
      <w:r>
        <w:t>Schliesslich verfügen die Beschwerdeführerinnen über bis ins Jahr 2032 gültige Reisepässe,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Mit dem Entscheid in der Hauptsache ist das Gesuch um Verzicht auf die Erhebung eines Kostenvorschusses gegenstandslos geworden. Das Gesuch um Gewährung der unentgeltlichen Prozessführung im Sinne von Art. 65 Abs. 1 VwVG ist abzuweisen, da die Begehren - wie sich aus den vorstehenden Erwägungen ergibt - als aussichtslos zu bezeichnen sind. Entsprechend dem Verfahrensausgang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