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E-4860/2015 vom 19. August 2016</w:t>
      </w:r>
    </w:p>
    <w:p>
      <w:r>
        <w:t>Bundesverwaltungsgericht, 2016-08-19, DE</w:t>
      </w:r>
    </w:p>
    <w:p>
      <w:r>
        <w:rPr>
          <w:b/>
        </w:rPr>
        <w:t xml:space="preserve">Quelle: </w:t>
      </w:r>
      <w:r>
        <w:t>https://mcp.opencaselaw.ch/entscheid/bvger_E-4860_2015</w:t>
      </w:r>
    </w:p>
    <w:p>
      <w:r>
        <w:t>FR: TAF E-4860/2015 du 19 août 2016</w:t>
      </w:r>
    </w:p>
    <w:p>
      <w:r>
        <w:t>IT: TAF E-4860/2015 del 19 agosto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im Asylpunkt zum Schluss, die Vorbringen der Beschwerdeführerin würden den Anforderungen an die Glaubhaftigkeit nicht standhalten, weshalb deren Asylrelevanz nicht geprüft werden müsse. In der Beschwerde wird dieser Einschätzung durch ausführliche Schilderung der angeblichen Geschehnisse und durch den Hinweis auf angeblich fehlerhafte Befragungen widersprochen.</w:t>
      </w:r>
    </w:p>
    <w:p>
      <w:r>
        <w:rPr>
          <w:b/>
        </w:rPr>
        <w:t>E. 4.2</w:t>
      </w:r>
    </w:p>
    <w:p>
      <w:r>
        <w:t>Nach Sichtung der Akten kommt das Bundesverwaltungsgericht zum Schluss, dass die Vorinstanz die durch die Praxis konkretisierten gesetzlichen Grundlagen zum Glaubhaftmachen von Asylvorbringen richtig angewendet hat. Zutreffend stellt sie verschiedene Widersprüche in den Aussagen der Beschwerdeführerin fest, welche auch auf Beschwerdeebene nicht nachvollziehbar entkräftet werden. Diesbezüglich kann vollumfänglich auf die ausführlichen und wohlbegründeten Erwägungen der Vorinstanz verwiesen werden.</w:t>
      </w:r>
    </w:p>
    <w:p>
      <w:r>
        <w:rPr>
          <w:b/>
        </w:rPr>
        <w:t>E. 4.3</w:t>
      </w:r>
    </w:p>
    <w:p>
      <w:r>
        <w:t>Die zahlreichen neuen Vorbringen auf Beschwerdeebene und namentlich die Detaillierung von vorher unsubstantiiert gebliebenen Vorbringen vermag an der zutreffenden Einschätzung der Vorinstanz nichts zu ändern. Dass die Asylvorbringen der Beschwerdeführerin sowohl in der BzP als auch in der Bundesanhörung äusserst vage und oberflächlich geblieben sind und überdies keinerlei Realkennzeichen aufweisen, kann nicht der Vorinstanz angelastet werden. Die Vorinstanz hat der Beschwerdeführerin immer wieder Gelegenheit zur Substantiierung ihrer Vorbringen geboten und etwa gefragt, wie sie konkret festgenommen worden sei, wie die beteiligten Männer ausgesehen hätten, wie man sie verhört habe, welche Fragen dort gestellt worden seien, wie die Räumlichkeiten des Camps ausgesehen hätten und wie es von innen ausgesehen habe (vgl. Akten des Asylverfahrens, A7/12, F 55, 57, 62, 63, 65, 66). Sämtliche Antworten blieben jedoch an der Oberfläche und vermitteln nicht den Eindruck, dass die Beschwerdeführerin das Geschilderte tatsächlich selbst erlebt hat. Entgegen dem, was in der Beschwerde offenbar erwartet wird, ist das SEM nicht verpflichtet, nach hypothetisch denkbaren Asylgründen zu forschen, wenn die Vorbringen derart substanzarm sind, dass keinerlei Anhaltspunkte für vertiefende Fragen bestehen, was hier der Fall ist.</w:t>
      </w:r>
    </w:p>
    <w:p>
      <w:r>
        <w:rPr>
          <w:b/>
        </w:rPr>
        <w:t>E. 4.4</w:t>
      </w:r>
    </w:p>
    <w:p>
      <w:r>
        <w:t>Die auf Beschwerdeebene erstmals geltend gemachte Vergewaltigung während der Inhaftierung erscheint ebenfalls unglaubhaft, zumal die Beschwerdeführerin in der BzP explizit danach gefragt wurde, ob sie angefasst wurde, dies aber - offenbar ohne Zögern - verneinte (vgl. Akten des Asylverfahrens, A1/9, F 15). Auch das eingereichte Arztzeugnis vermag an diesem Befund nichts zu ändern. Es ist auf den 13. Januar 2009 datiert, und bezieht sich damit auf eine angebliche Vergewaltigung, die nach Angaben der Beschwerdeführerin erst im Dezember 2009 beziehungsweise im Januar 2010 stattgefunden hat. Das Zeugnis ist demzufolge ohne weiteres als Fälschung zu qualifizieren, zumal es offensichtlich im Hinblick auf das vorliegende Beschwerdeverfahren verfasst wurde; aufgrund der missbräuchlichen Verwendung ist es gestützt auf Art. 10 Abs. 4 AsylG einzuziehen.</w:t>
      </w:r>
    </w:p>
    <w:p>
      <w:r>
        <w:rPr>
          <w:b/>
        </w:rPr>
        <w:t>E. 4.5</w:t>
      </w:r>
    </w:p>
    <w:p>
      <w:r>
        <w:t>Zusammenfassend wird auch in der Beschwerde nichts vorgebracht, das geeignet wäre, die Asylvorbringen der Beschwerdeführerin glaubhaft zu machen. Die Vorinstanz ist zu Recht von der Unglaubhaftigkeit der Vorbringen der Beschwerdeführerin ausgegangen und musste folglich auf deren Asylrelevanz nicht näher eingehen. Eine Verletzung von Art. 3 oder Art. 7 AsylG ist nicht ersichtlich.</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Der Gefährdung der Beschwerdeführerin aufgrund der damaligen Situation in Sri Lanka wurde durch das SEM mit der Anordnung der vorläufigen Aufnahme wegen Unzumutbarkeit des Wegweisungsvollzugs Rechnung getragen. Ob die Anordnung der vorläufigen Aufnahme vor dem Hintergrund der aktuellen Rechtsprechung des Bundesverwaltungsgerichts (vgl. Urteil des BVGer E-1866/2015 vom 15. Juli 2016) und in Anbetracht der zahlreichen nach wie vor in Sri Lanka lebenden Verwandten der Beschwerdeführerin nach wie vor gerechtfertigt ist, kann vorliegend offen bleiben. Eine Verletzung von Art. 3 EMRK liegt jedenfalls schon deshalb nicht vor, weil der Wegweisungsvollzug zugunsten einer vorläufigen Aufnahme aufgeschoben wurde. Aufgrund der alternativen Natur der Wegweisungsvollzugshindernisse (vgl. BVGE 2009/51 E. 5.4) ist auch keine Verletzung von Art. 83 Abs. 3 oder 4 AuG (SR 142.20) ersichtlich.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Die gestellten Begehren erweisen sich als aussichtslos, weshalb das Gesuch um Gewährung der unentgeltlichen Rechtspflege ungeachtet der ausgewiesenen prozessualen Bedürftigkeit abzuweisen ist (Art. 65 Abs. 1 VwVG). Mit dem vorliegenden Entscheid wird das Gesuch um Verzicht auf die Erhebung eines Kostenvorschusses gegenstandslos.</w:t>
      </w:r>
    </w:p>
    <w:p>
      <w:r>
        <w:rPr>
          <w:b/>
        </w:rPr>
        <w:t>E. 9</w:t>
      </w:r>
    </w:p>
    <w:p>
      <w:r>
        <w:t>Die Beschwerdeführerin hat auf Beschwerdeebene ein gefälschtes Arztzeugnis zu den Akten gereicht und dem Gericht damit zusätzlichen Aufwand bereitet. Diesem Umstand ist bei der Bemessung der Gerichtsgebühr Rechnung zu tragen (Art. 2 Abs. 2 des Reglements vom 21. Februar 2008 über die Kosten und Entschädigungen vor dem Bundesverwaltungsgericht [VGKE, SR 172.320.2]). Die Gerichtsgebühr ist infolgedessen auf insgesamt Fr. 1'200.-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