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E-4860/2014 vom 10. März 2016</w:t>
      </w:r>
    </w:p>
    <w:p>
      <w:r>
        <w:t>Bundesverwaltungsgericht, 2016-03-10, DE</w:t>
      </w:r>
    </w:p>
    <w:p>
      <w:r>
        <w:rPr>
          <w:b/>
        </w:rPr>
        <w:t xml:space="preserve">Quelle: </w:t>
      </w:r>
      <w:r>
        <w:t>https://mcp.opencaselaw.ch/entscheid/bvger_E-4860_2014</w:t>
      </w:r>
    </w:p>
    <w:p>
      <w:r>
        <w:t>FR: TAF E-4860/2014 du 10 mars 2016</w:t>
      </w:r>
    </w:p>
    <w:p>
      <w:r>
        <w:t>IT: TAF E-4860/2014 del 10 marzo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mithin einzutreten.</w:t>
      </w:r>
    </w:p>
    <w:p>
      <w:r>
        <w:rPr>
          <w:b/>
        </w:rPr>
        <w:t>E. 1.4</w:t>
      </w:r>
    </w:p>
    <w:p>
      <w:r>
        <w:t>Das kürzlich geborene Kind der Beschwerdeführerin ist in deren Verfahren einzubeziehen.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Dublin-III-VO. Führt diese Prüfung zur Feststellung, dass ein anderer Mitgliedstaat für die Prüfung des Asylgesuchs zuständig ist, tritt die Vorinstanz, nachdem der betreffende Mitgliedstaat einer Aufnahme oder Wiederaufnahme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 antragstellende Person in den eigentlich zuständigen Mitgliedstaat zu überstellen, weil es wesentliche Gründe für die Annahme gibt, dass das Asylverfahren und die Aufnahmebedingungen für antragstellende Personen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3.3</w:t>
      </w:r>
    </w:p>
    <w:p>
      <w:r>
        <w:t>Der nach der Dublin-III-VO zuständige Mitgliedstaat ist verpflichtet, eine gesuchstellende Person, die in einem anderen Mitgliedstaat einen Antrag gestellt hat, nach Massgabe der Art. 21, 22 und 29 Dublin-III-VO aufzunehmen (Art. 18 Abs. 1 Bst. a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Wird festgestellt, dass eine antragstellende Person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4.2</w:t>
      </w:r>
    </w:p>
    <w:p>
      <w:r>
        <w:t>Den Akten ist zu entnehmen, dass die Beschwerdeführerin über Italien in die Schweiz eingereist ist (vgl. A4/1). Anlässlich ihrer Befragung führte sie in Übereinstimmung dazu aus, sie sei von Äthiopien über den Sudan nach Libyen gelangt, von wo aus sie sich am 8. Mai 2014 auf einem Boot in Richtung Italien begeben habe. Am 13. Mai 2014 sei sie in Sizilien angekommen und habe kurze Zeit später den Zug in die Schweiz genommen. Die Vorinstanz ersuchte die italienischen Behörden am 13. Juni 2014 gestützt auf Art. 13 Abs. 1 Dublin-III-VO um Aufnahme der Beschwerdeführerin. Die italienischen Behörden liessen das Übernahmeersuchen innert der in Art. 22 Abs. 1 Dublin-III-VO vorgesehenen Frist unbeantwortet, womit sie die Zuständigkeit Italiens implizit anerkannten (vgl. Art. 22 Abs. 7 Dublin-III-VO).</w:t>
      </w:r>
    </w:p>
    <w:p>
      <w:r>
        <w:rPr>
          <w:b/>
        </w:rPr>
        <w:t>E. 4.3</w:t>
      </w:r>
    </w:p>
    <w:p>
      <w:r>
        <w:t>Mithin ist die grundsätzliche Zuständigkeit Italiens gegeben. Daran ändert auch nichts, dass die Beschwerdeführerin in Italien weder ein Asylgesuch eingereicht haben, noch daktyloskopiert worden sein will (vgl. Art. 13 Abs. 1 Dublin-III-VO). Auch das Vorbringen, die "stillschweigende Zustimmung" Italiens sei angesichts der Überforderung des Landes mit der steigenden Anzahl Flüchtlinge und angesichts des Verhaltens der italienischen Behörden gegenüber der Beschwerdeführerin vielmehr als Versäumnis zu verstehen, ist unbehilflich. So vermag dieses Argument die in Art. 22 Abs. 7 Dublin-III-VO festgehaltene gesetzliche Vermutung, wonach das Ausbleiben einer Antwort als Zustimmung zu verstehen ist, noch nicht umzustossen. Schliesslich wird die Zuständigkeit Italiens vor dem Hintergrund der Versteinerungsregel (Art. 7 Abs. 2 Dublin-III-VO) auch nicht durch die Zuständigkeit der Schweiz gestützt auf Art. 9 Dublin-III-VO überlagert. So erwähnte die Beschwerdeführerin den angeblichen Kindsvater, C._______, anlässlich ihrer Befragung noch nicht. Auch war sie zu diesem Zeitpunkt noch nicht schwanger (vgl. zum Ganzen auch BVGE 2013/24 E. 4.3.1 und 4.3.2).</w:t>
      </w:r>
    </w:p>
    <w:p>
      <w:r>
        <w:rPr>
          <w:b/>
        </w:rPr>
        <w:t>E. 5.1</w:t>
      </w:r>
    </w:p>
    <w:p>
      <w:r>
        <w:t>Nach dem Gesagten ist die grundsätzliche Zuständigkeit Italiens im Sinne von Art. 3 Abs. 1 Dublin-III-VO gegeben. Aufgrund der Tatsache, dass die Beschwerdeführerin kürzlich ein Kind zur Welt gebracht hat, dessen Vater ihren Angaben zufolge ihr Lebensgefährte C._______ - eine in der Schweiz vorläufig aufgenommene Person - ist, bleibt indes zu prüfen, ob bei einer Überstellung im konkreten Fall eine Verletzung internationalen öffentlichen Rechts (konkret von Art. 8 EMRK) drohen würde, welche die Schweiz zur Anwendung der Souveränitätsklausel und zur Prüfung des Asylgesuchs der Beschwerdeführerin verpflichten würde. Dazu wäre in erster Linie abzuklären, ob der behauptete Kindsvater das Verfahren bezüglich Kindsanerkennung tatsächlich - wie in der Eingabe vom 13. Januar 2016 vorgetragen - in die Wege geleitet hat respektive ob er in anderer Form, beispielsweise mittels DNA-Test, belegen kann, dass er der leibliche Vater des Neugeborenen ist. Ferner wäre er zu dem in der Eingabe vom 13. Januar 2016 von der Beschwerdeführerin geäusserten Wunsch, mit ihr und dem neugeborenen Kind als Familie zusammenzuleben, persönlich zu befragen.</w:t>
      </w:r>
    </w:p>
    <w:p>
      <w:r>
        <w:rPr>
          <w:b/>
        </w:rPr>
        <w:t>E. 5.2</w:t>
      </w:r>
    </w:p>
    <w:p>
      <w:r>
        <w:t>Wäre eine Verletzung von Art. 8 EMRK nach Durchführung dieser Abklärungen zu verneinen, müsste - nach Massgabe von BVGE 2015/9 E. 7 und 8 - geprüft werden, ob es angezeigt ist, die Souveränitätsklausel aus humanitären Gründen im Sinne von Art. 29a Abs. 3 der Asylverordnung 1 vom 11. August 1999 (AsylV 1, SR 142.311) i.V.m. Art. 17 Abs. 1 Dublin-III-VO auszuüben. Dabei wäre ein allfälliges Kindsverhältnisses zwischen C._______ und dem Kind der Beschwerdeführerin, dessen Vorliegen bereits mit Blick auf Art. 8 EMRK zu überprüfen wäre (vgl. E. 5.1), zu berücksichtigen. Ferner wären die Vorbringen der Beschwerdeführerin, in ihrem Heimatland und auf dem Fluchtweg Opfer von Vergewaltigung, Misshandlung und Folter geworden zu sein, und allfällige daraus resultierende psychische Probleme, welche gerade mit Blick auf die unter Druck stehenden Aufnahmestrukturen in Italien problematisch sein könnten, unter anderem durch den Beizug der in der Eingabe vom 13. Januar 2016 in Aussicht gestellten Arztzeugnisse, genauer abzuklären.</w:t>
      </w:r>
    </w:p>
    <w:p>
      <w:r>
        <w:rPr>
          <w:b/>
        </w:rPr>
        <w:t>E. 5.3</w:t>
      </w:r>
    </w:p>
    <w:p>
      <w:r>
        <w:t>Sollte sich ein Selbsteintritt der Schweiz aus humanitären Gründen nach entsprechender Prüfung als nicht angezeigt erweisen, müssen angesichts der Geburt des Kindes der Beschwerdeführerin und der damit einhergehenden Tatsache, dass es sich bei Mutter und Kind um eine Familie im Sinne des Urteils Tarakhel gegen die Schweiz (a.a.O.) handelt, die in diesem Entscheid geforderten Garantien bezüglich einer kindgerechten Unterbringung respektive der Wahrung der Einheit der Familie in Italien eingeholt werden. Da es sich bei der vom EGMR verlangten individuellen Garantie seitens Italien nicht um eine blosse Überstellungsmodalität, sondern um eine materielle völkerrechtliche Zulässigkeitsvoraussetzung der Überstellung handelt, muss sie einer Überprüfung durch das Bundesverwaltungsgericht offenstehen und mithin bereits vor Erlass einer Überstellungsverfügung vorliegen (vgl. BVGE 2015/4 E. 4.3).</w:t>
      </w:r>
    </w:p>
    <w:p>
      <w:r>
        <w:rPr>
          <w:b/>
        </w:rPr>
        <w:t>E. 5.4</w:t>
      </w:r>
    </w:p>
    <w:p>
      <w:r>
        <w:t>Die in E. 5.1 bis E. 5.3 dargelegten Abklärungen dürften sich umfangreicht gestalten und mithin den Rahmen des Beschwerdeverfahrens sprengen. Ferner obliegt die - im Falle der Verneinung einer Verletzung von Art. 8 EMKR - durchzuführende Prüfung des Selbsteintritts aus humanitären Gründen infolge der Aufhebung von Art. 106 Abs. 1 Bst. c AsylG der Vorinstanz. Überdies kommt die Vorinstanz, wenn sie einen Selbsteintritt aus humanitären Gründen nicht für angezeigt erachtet, mit Blick auf die vor Erlass einer Verfügung vorzuliegenden Garantien im Sinne des Urteils Tarakhel gegen die Schweiz nicht darum herum, eine neue Verfügung zu erlassen. Aus diesen Gründen erscheint es angezeigt, die Beschwerde gutzuheissen, die Verfügung vom 14. August 2014 aufzuheben und die Sache im Sinne der Erwägungen E. 5.1 bis E. 5.3 zur Neubeurteilung an die Vorinstanz zurückzuweisen.</w:t>
      </w:r>
    </w:p>
    <w:p>
      <w:r>
        <w:rPr>
          <w:b/>
        </w:rPr>
        <w:t>E. 6.1</w:t>
      </w:r>
    </w:p>
    <w:p>
      <w:r>
        <w:t>Bei diesem Ausgang des Verfahrens sind keine Verfahrenskosten aufzuerlegen (Art. 63 Abs. 1 und 2 VwVG).</w:t>
      </w:r>
    </w:p>
    <w:p>
      <w:r>
        <w:rPr>
          <w:b/>
        </w:rPr>
        <w:t>E. 6.2</w:t>
      </w:r>
    </w:p>
    <w:p>
      <w:r>
        <w:t>Der ganz oder teilweise obsiegenden Partei kann von der Beschwerdeinstanz von Amtes wegen oder auf Begehren eine Entschädigung für ihr erwachsene notwendige und verhältnismässig hohe Kosten zugesprochen werden (Art. 64 Abs. 1 VwVG). Da die Beschwerdeführerin im Beschwerdeverfahren nicht vertreten war, ist nicht ersichtlich, welche unverhältnismässig hohen Kosten ihr entstanden sein könnten, weshalb ihr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