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E-4850/2021 vom 14. Oktober 2021</w:t>
      </w:r>
    </w:p>
    <w:p>
      <w:r>
        <w:t>Bundesverwaltungsgericht, 2021-10-14, DE</w:t>
      </w:r>
    </w:p>
    <w:p>
      <w:r>
        <w:rPr>
          <w:b/>
        </w:rPr>
        <w:t xml:space="preserve">Quelle: </w:t>
      </w:r>
      <w:r>
        <w:t>https://mcp.opencaselaw.ch/entscheid/bvger_E-4850_2021_d20211014</w:t>
      </w:r>
    </w:p>
    <w:p>
      <w:r>
        <w:t>FR: TAF E-4850/2021 du 14 octobre 2021</w:t>
      </w:r>
    </w:p>
    <w:p>
      <w:r>
        <w:t>IT: TAF E-4850/2021 del 14 ottobre 2021</w:t>
      </w:r>
    </w:p>
    <w:p>
      <w:pPr>
        <w:pStyle w:val="Heading2"/>
      </w:pPr>
      <w:r>
        <w:t>Regeste</w:t>
      </w:r>
    </w:p>
    <w:p>
      <w:r>
        <w:t>Asyl und Wegweisung | Asyl und Wegweisung; Verfügung des SEM vom 14. Oktober 2021</w:t>
      </w:r>
    </w:p>
    <w:p>
      <w:pPr>
        <w:pStyle w:val="Heading2"/>
      </w:pPr>
      <w:r>
        <w:t>Erwägungen</w:t>
      </w:r>
    </w:p>
    <w:p>
      <w:r>
        <w:rPr>
          <w:b/>
        </w:rPr>
        <w:t>E. 1</w:t>
      </w:r>
    </w:p>
    <w:p>
      <w:r>
        <w:t>April 2020 [Covid-19-Verordnung Asyl,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t>E-4850/2021 Seite 5</w:t>
      </w:r>
    </w:p>
    <w:p>
      <w:r>
        <w:rPr>
          <w:b/>
        </w:rPr>
        <w:t>E. 4</w:t>
      </w:r>
    </w:p>
    <w:p>
      <w:r>
        <w:t>Die Vorinstanz gelangt in der angefochtenen Verfügung zum Schluss, die Vorbringen des Beschwerdeführers hielten den Anforderungen an das Glaubhaftmachen gemäss Art. 7 AsylG nicht stand. Zur Begründung führt die Vorinstanz aus, bei seinen Fluchtvorbringen stütze sich der Beschwerdeführer in zentralen Punkten auf Vermutungen und er habe seine Schilderungen trotz teilweise mehrmaligen Nachfragens nicht überzeugend darlegen können. Im Zusammenhang mit dem zu den Akten gereichten Haftbefehl würden sich bezüglich des behördlichen Vor- gehens einige Ungereimtheiten ergeben, da insbesondere fraglich sei, ob die Behörden tatsächlich einen Haftbefehl an Familienangehörige aushän- digen würden. Zudem seien bei den eingereichten Behördendokumenten diverse formelle Auffälligkeiten auszumachen. Da gemäss Praxis einge- reichten Beweismitteln im Irakkontext grundsätzlich nur bei Vorliegen schlüssiger Fluchtvorbringen relevante Beweiskraft zukommen könne, dränge sich ferner keine weitere vertiefte Dokumentenanalyse auf.</w:t>
      </w:r>
    </w:p>
    <w:p>
      <w:r>
        <w:rPr>
          <w:b/>
        </w:rPr>
        <w:t>E. 5</w:t>
      </w:r>
    </w:p>
    <w:p>
      <w:r>
        <w:t>In der Rechtsmitteleingabe macht der Beschwerdeführer im Wesentlichen geltend, die Vorinstanz habe es in unzulässiger Weise unterlassen, die ein- gereichten behördlichen Dokumente einer detaillierten Prüfung zu unter- ziehen. Ferner hätte ihm vor Erlass der Verfügung das rechtliche Gehör zur Authentizität der Beweisunterlagen gewährt werden müssen. Stattdessen habe die Vorinstanz den Beweismitteln in pauschaler Weise die Beweis- kraft abgesprochen. Schliesslich sei es naheliegend, dass die PKK-Kon- taktperson seinen Namen den Behörden verraten haben müsse und es ihm nicht möglich gewesen sei, die diesbezüglichen Geschehensabläufe nach- träglich genau abzuklären.</w:t>
      </w:r>
    </w:p>
    <w:p>
      <w:r>
        <w:rPr>
          <w:b/>
        </w:rPr>
        <w:t>E. 6</w:t>
      </w:r>
    </w:p>
    <w:p>
      <w:r>
        <w:t>Die Vorinstanz führt in der Vernehmlassung im Wesentlichen aus, aufgrund der im Irak herrschenden Korruption könne selbst formell echten amtlichen Dokumenten nur bei gleichzeitigem Vorliegen von schlüssigen Fluchtvor- bringen relevante Beweiskraft zukommen. Aufgrund der unglaubhaften Schilderungen des Beschwerdeführers sei sie deshalb nicht gehalten ge- wesen, die eingereichten Beweismittel näher auf ihre Echtheit zu untersu- chen, zumal solche Dokumente oftmals keiner schlüssigen Überprüfung zugänglich seien. Aufgrund der Fluchtvorbringen wäre sodann von einer eher niederschwelligen Tätigkeit für die PKK auszugehen, was nicht für eine hohe Verfolgungsgefahr im Falle seiner Rückkehr spreche.</w:t>
      </w:r>
    </w:p>
    <w:p>
      <w:r>
        <w:t>E-4850/2021 Seite 6</w:t>
      </w:r>
    </w:p>
    <w:p>
      <w:r>
        <w:rPr>
          <w:b/>
        </w:rPr>
        <w:t>E. 7.1</w:t>
      </w:r>
    </w:p>
    <w:p>
      <w:r>
        <w:t>Der Beschwerdeführer sieht eine Verletzung seines Anspruchs auf rechtliches Gehör darin begründet, dass er zur Einschätzung der Vor- instanz betreffend die Authentizität der eingereichten Dokumente nicht vor- gängig Stellung nehmen konnte. Die Rüge ist vorab zu behandeln, da sie geeignet sein könnte, eine Kassation der angefochtenen Verfügung zu be- wirken. Die Würdigung der eingereichten Beweismittel ist Bestandteil der Rechts- beziehungsweise Urteilsfindung und erfolgt, nachdem im Rahmen der Vor- bereitungsphase und der Anhörung (vgl. Art. 26 ff. AsylG) die notwendigen Erhebungen vorgenommen wurden. Ein Anspruch auf Gewährung des rechtlichen Gehörs in Bezug auf den voraussichtlichen Verfahrensausgang besteht jedoch nicht beziehungsweise nur dann, wenn die Behörde wegen täuschendem Verhalten einen Nichteintretensentscheid zu fällen beabsich- tigt (Art. 36 Abs. 1 AsylG), was vorliegend jedoch nicht der Fall war. Die Rüge erweist sich als unbegründet. Da die weiteren in der Rechtmitteleingabe (teilweise implizit) enthalten Ver- fahrensrügen eng mit der materiellen Beurteilung der vorliegenden Sache zusammenhängen, ist diesbezüglich auf die nachfolgenden Erwägungen zu verweisen.</w:t>
      </w:r>
    </w:p>
    <w:p>
      <w:r>
        <w:rPr>
          <w:b/>
        </w:rPr>
        <w:t>E. 7.2</w:t>
      </w:r>
    </w:p>
    <w:p>
      <w:r>
        <w:t>Der Beschwerdeführer begründet seine Fluchtvorbringen im Kern da- mit, dass er aufgrund von Warenlieferungen an die PKK in den Fokus der heimatlichen Behörden geraten sei. Es ist der Vorinstanz darin zuzustimmen, dass die Ausführungen des Be- schwerdeführers insgesamt oberflächlich und trotz mehrmaligen Nachfra- gens oftmals detailarm bleiben. Ob der Kontakt zur PKK über einen länge- ren Zeitraum zustande kam, ob dem Beschwerdeführer dabei von Anfang klar war, dass er es mit der PKK zu tun hatte und weshalb er dieser für die Ausübung der – gemäss seinen Angaben – riskanten Tätigkeit seinen rich- tigen Namen offenbarte, bleibt unklar (vgl. SEM-Akten A17/17 F35 sowie F61 f.). Insbesondere wäre Letzteres deshalb relevant, da die Offenlegung seines Namens gegenüber den Behörden gerade der Auslöser für seine Flucht gewesen sein soll. Weiter sind die geäusserten Zweifel der Vor- instanz am behördlichen Vorgehen im Zusammenhang mit der Zustellung des Haftbefehls insofern begründet, da gemäss Länderinformationen sol- che Dokumente selbst den Beschuldigten grundsätzlich nicht ausgehän- digt und auch Verhaftungen ohne Haftbefehl vorkommen würden (vgl. UN</w:t>
      </w:r>
    </w:p>
    <w:p>
      <w:r>
        <w:t>E-4850/2021 Seite 7 Assistance Mission for Iraq (UNAMI) / Office of the UN High Commissioner for Human Rights (OHCHR), Report on Human Rights in Iraq January to June 2017, 14.12.2017, https://www.refworld.org/docid/5a746d804.html; vgl. sodann The Law Does Not Protect Us: Lack of Supremacy of Law Menaces De- mocracy and Freedom of Press, 13.01.2018, https://www.metroo.org/eng- lish/dreja.aspx?=hewal&amp;jmare=160&amp;Jor=1;.alle abgerufen am 15.3.2022). Der Beschwerdeführer erklärte sodann anlässlich der Anhörung in wider- sprüchlicher Weise, er habe die Dokumente nicht gesehen und sei auf- grund der Mitteilung seines Vaters aus dem Land gereist (vgl. a.a.O. F79), wobei er an anderer Stelle angab, er habe eine Kopie des Haftbefehls ge- sehen und sei dann ausgereist (vgl. a.a.O. F97). Ferner ist festzuhalten, dass die in der angefochtenen Verfügung geäusserten Bedenken an der Authentizität der eingereichten Dokumente – insbesondere unter Verweis auf die Ähnlichkeit der Unterschriften auf Vorladung und Haftbefehl sowie die umgangssprachlichen Wendungen – vom Beschwerdeführer nicht überzeugend ausgeräumt werden konnten. Auch fällt auf, dass die Schil- derungen des Beschwerdeführers teilweise in auffälliger Weise identisch mit denjenigen seines Cousins – F._______ (N […]) – sind, mit welchem er die Tätigkeit für die PKK ausgeübt haben soll. Beide haben in der (…) ihres jeweiligen Bruders gearbeitet und sowohl der Vater des Beschwerdeführers als auch der Vater des Cousins sollen den Behörden – aus nicht näher bekannten Gründen – anlässlich der Raz- zien den Beamten Fotografien ihrer Söhne gezeigt haben. Schliesslich ist darauf hinzuweisen, dass zumindest bemerkenswert ist, dass er die Flucht gleich einen Tag nach Kenntnis des gegen ihn ausgestellten Haftbefehls angetreten haben soll, ohne dass aus den Schilderungen hervorgehen würde, er hätte bis dahin irgendwelche organisatorischen, logistischen o- der finanziellen Vorbereitungshandlungen getroffen. Insgesamt erwecken die Ausführungen des Beschwerdeführers den Ein- druck, dass er allgemein bekannte Tatsachen – vor deren Hintergrund sich ein Szenario in der von ihm geschilderten Weise zwar ungefähr auch so abspielen könnte – dafür verwendet, eine Verfolgungsgeschichte zu kon- struieren, die er nicht selber erlebt hat. Auf den Umstand, dass zentrale Teile seiner Fluchtvorbringen zudem auf Vermutungen basieren, muss bei dieser Ausgangslage nicht mehr vertieft eingegangen werden. Aufgrund der nicht überzeugend dargelegten Fluchtgeschichte sowie den von der Vorinstanz aufgezeigten formalen Auffälligkeiten, welche den Beweismit- teln anhaften, war diese nicht gehalten, eine vertiefte Dokumentenprüfung vorzunehmen. Die in diesem Zusammenhang erhobenen verfahrensrecht- lichen Rügen erweisen sich als unbegründet. Das auf Beschwerdeebene</w:t>
      </w:r>
    </w:p>
    <w:p>
      <w:r>
        <w:t>E-4850/2021 Seite 8 eingereichte angeblich anwaltliche Schreiben, welches gemäss Inhaltsan- gabe des Beschwerdeführers im Wesentlichen seine Fluchtvorbringen durch eine Drittperson wiederholt, vermag an der dargelegten Unglaubhaf- tigkeit nichts zu ändern und ist als eigentliches Gefälligkeitsschreiben zu werten.</w:t>
      </w:r>
    </w:p>
    <w:p>
      <w:r>
        <w:rPr>
          <w:b/>
        </w:rPr>
        <w:t>E. 7.3</w:t>
      </w:r>
    </w:p>
    <w:p>
      <w:r>
        <w:t>Aufgrund des Ausgeführten ist festzuhalten, dass die Vorinstanz die Flüchtlingseigenschaft des Beschwerdeführers zu Recht verneint und sein Asylgesuch abgelehnt hat.</w:t>
      </w:r>
    </w:p>
    <w:p>
      <w:r>
        <w:rPr>
          <w:b/>
        </w:rPr>
        <w:t>E. 8</w:t>
      </w:r>
    </w:p>
    <w:p>
      <w:r>
        <w:t>Lehnt das Staatssekretariat das Asylgesuch ab oder tritt es darauf nicht ein, so verfügt es in der Regel die Wegweisung aus der Schweiz und ordnet den Vollzug an (Art. 44 AsylG). Der Beschwerdeführer verfügt weder über eine ausländerrechtliche Aufent- 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9.1.1</w:t>
      </w:r>
    </w:p>
    <w:p>
      <w:r>
        <w:t>Der Vollzug ist nicht zulässig, wenn völkerrechtliche Verpflichtungen der Schweiz einer Weiterreise der Ausländerin oder des Ausländers in den Heimat-, Herkunfts- oder einen Drittstaat entgegenstehen (Art. 83 Abs. 3 AIG). 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zuges beurteilt sich vielmehr nach den allgemeinen verfassungs- und völ- kerrechtlichen Bestimmungen (Art. 25 Abs. 3 BV; Art. 3 des Übereinkom-</w:t>
      </w:r>
    </w:p>
    <w:p>
      <w:r>
        <w:t>E-4850/2021 Seite 9 mens vom 10. Dezember 1984 gegen Folter und andere grausame, un- 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er eine konkrete Bedrohung im Sinne eines «real risk» nachweisen oder glaubhaft machen, dass ihm im Fall einer Rückschiebung Folter oder unmenschliche Behandlung drohen würde (vgl. Urteil des EGMR Saadi ge- gen Italien 28. Februar 2008, Grosse Kammer 37201/06, §§ 124–127 m.w.H.). Nachdem es dem Beschwerdeführer nicht gelungen ist, eine Ver- folgung nachzuweisen oder auch nur glaubhaft zu machen, ist diese Vor- aussetzung nicht erfüllt. Ferner lässt die allgemeine Menschenrechtssitua- tion im Heimatgebiet des Beschwerdeführers den Wegweisungsvollzug zum heutigen Zeitpunkt nicht als unzulässig erscheinen (vgl. zuletzt Urteil des BVGer E-4484/2021 vom 22. Februar 2022 E. 8.3 m.w.H.). Nach dem Gesagten ist der Vollzug der Wegweisung sowohl im Sinne der asyl- als auch der völkerrechtlichen Bestimmungen zulässig.</w:t>
      </w:r>
    </w:p>
    <w:p>
      <w:r>
        <w:rPr>
          <w:b/>
        </w:rPr>
        <w:t>E. 9.1.2.1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 Der Wegweisungsvollzug in die kurdischen Provinzen des Nordirak gilt ge- mäss konstanter Rechtsprechung grundsätzlich als zumutbar (vgl. Urteil des BVGer E-4484/2021 vom 22. Februar 2022 E. 8.4.1 m.w.H.), wobei einzelne Zusammenstösse der regionalen Sicherheitskräfte mit der PKK an dieser Einschätzung nichts zu ändern vermögen. Gleiches gilt für die – offenbar anti-israelisch motivierten – Raketenangriffe der iranischen Revo- lutionswächter in der Umgebung des amerikanischen Generalkonsulats in Erbil Mitte März 2022 (https://www.nzz.ch/international/ballistische-rake- ten-schlagen-in-erbil-ein-nzz-ld.1674319; abgerufen am 15.03.2022).</w:t>
      </w:r>
    </w:p>
    <w:p>
      <w:r>
        <w:t>E-4850/2021 Seite 10</w:t>
      </w:r>
    </w:p>
    <w:p>
      <w:r>
        <w:rPr>
          <w:b/>
        </w:rPr>
        <w:t>E. 9.1.2.2</w:t>
      </w:r>
    </w:p>
    <w:p>
      <w:r>
        <w:t>Betreffend die individuelle Zumutbarkeit des Wegweisungsvollzu- ges ist festzuhalten, dass im Nordirak eine grundlegende medizinische Ver- sorgung für psychische Probleme vorhanden ist (vgl. Urteil des BVGer D-3577/2021 vom 18. August 2021 E. 6.2.3. m.w.H.). Es ist davon auszu- gehen, die gemäss E._______ vom 1. Dezember 2021 diagnostizierte (…) sei bei Bedarf im Heimatland des Beschwerdeführers behandelbar. Weiter ist festzuhalten, dass gemäss dem Arztbericht seine Leiden stark mit seiner Flucht- und Aufenthaltssituation zusammenhängen. Im Übrigen enthält die Rechtsmitteleingabe keine weiteren Ausführungen zur individuellen Situa- tion des Beschwerdeführers und es kann diesbezüglich auf die zutreffen- den Erwägungen in der angefochtenen Verfügung verwiesen werden. Der Wegweisungsvollzug erweist sich mithin als zumutbar.</w:t>
      </w:r>
    </w:p>
    <w:p>
      <w:r>
        <w:rPr>
          <w:b/>
        </w:rPr>
        <w:t>E. 9.1.3</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9.2</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w:t>
      </w:r>
    </w:p>
    <w:p>
      <w:r>
        <w:t>Bei diesem Ausgang des Verfahrens wären die Kosten dem Beschwerde- führer aufzuerlegen (Art. 63 Abs. 1 VwVG). Da ihm mit Zwischenverfügung vom 9. November 2021 die unentgeltliche Prozessführung gewährt wurde und den Akten keine Hinweise für Veränderungen seiner finanziellen Ver- hältnisse zu entnehmen sind, sind keine Verfahrenskosten zu erheben (Art. 1–3 des Reglements vom 21. Februar 2008 über die Kosten und Ent- schädigungen vor dem Bundesverwaltungsgericht [VGKE, SR 173.320.2]). (Dispositiv nächste Seite)</w:t>
      </w:r>
    </w:p>
    <w:p>
      <w:r>
        <w:t>E-4850/2021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