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E-484/2009 vom 1. März 2012</w:t>
      </w:r>
    </w:p>
    <w:p>
      <w:r>
        <w:t>Bundesverwaltungsgericht, 2012-03-01, DE</w:t>
      </w:r>
    </w:p>
    <w:p>
      <w:r>
        <w:rPr>
          <w:b/>
        </w:rPr>
        <w:t xml:space="preserve">Quelle: </w:t>
      </w:r>
      <w:r>
        <w:t>https://mcp.opencaselaw.ch/entscheid/bvger_E-484_2009</w:t>
      </w:r>
    </w:p>
    <w:p>
      <w:r>
        <w:t>FR: TAF E-484/2009 du 1 mars 2012</w:t>
      </w:r>
    </w:p>
    <w:p>
      <w:r>
        <w:t>IT: TAF E-484/2009 del 1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solche Ausnahme gemäss Art. 83 Bst. d Ziff. 1 BGG ist vorliegend nicht gegeben. Das Bundesverwaltungsgericht entscheidet somit endgültig.</w:t>
      </w:r>
    </w:p>
    <w:p>
      <w:r>
        <w:rPr>
          <w:b/>
        </w:rPr>
        <w:t>E. 1.3</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16. Januar 2009 bei der Schweizerischen Botschaft eingegangene Beschwerde rechtzeitig erfolgt ist.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des Schriftenwechsels verzichtet. 3.1. Ein Asylgesuch kann gemäss Art. 19 AsylG im Ausland bei einer Schweizer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BVGE 2007/30). Vorliegend führte die Schweizer Botschaft in Colombo am 31. Oktober 2008 eine persönliche Befragung des Beschwerdeführers gemäss Art. 10 Abs. 1 AsylV 1 durch.</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vormals zuständigen Schweizerischen Asylrekurskommission [ARK; EMARK] 2004 Nr. 20 E. 3 S. 130 ff. und Nr. 21 E. 2 S. 136 f., EMARK 2005 Nr. 19 E. 4 S. 174 ff.).</w:t>
      </w:r>
    </w:p>
    <w:p>
      <w:r>
        <w:rPr>
          <w:b/>
        </w:rPr>
        <w:t>E. 5.1</w:t>
      </w:r>
    </w:p>
    <w:p>
      <w:r>
        <w:t>Vorweg ist festzustellen, dass das BFM im vorliegenden Fall den Sachverhalt in Beachtung der Rechtsprechung des Bundesverwaltungsgerichts (vgl. BVGE 2008/2) festgestellt hat.</w:t>
      </w:r>
    </w:p>
    <w:p>
      <w:r>
        <w:rPr>
          <w:b/>
        </w:rPr>
        <w:t>E. 5.2</w:t>
      </w:r>
    </w:p>
    <w:p>
      <w:r>
        <w:t>Zur Begründung seiner Verfügung hielt das BFM im Wesentlichen fest, der sri-lankische Staat sei grundsätzlich schutzwillig, weshalb sich der Beschwerdeführer vor den Verfolgungsmassnahmen seitens der LTTE an die heimatlichen Behörden wenden könne. Den Akten sei nicht zu entnehmen, dass er sich vergeblich um Schutz bemüht habe respektive adäquate Massnahmen nicht erfolgt wären. Im Einzelfall könne es zwar durchaus vorkommen, dass eine Schutzgewährung unterbleibe oder nicht in ausreichendem Mass gewährt werde. Hierzu gelte festzuhalten, dass eine faktische Garantie der Schutzgewährung für langfristigen individuellen Schutz einer bedrohten Person nicht verlangt werden könne. Die zunehmende Radikalisierung in Sri Lanka und insbesondere die geltend gemachten Vorfälle seien bedauerlich. Aufgrund der allgemeinen Sicherheits- und Menschenrechtslage in seinem Heimatland sei es nachvollziehbar, dass er sich um seine Sicherheit sorge. Da der Spielraum zur Erteilung von Einreisevisa sehr klein und die Anforderungen an eine Einreisebewilligung sehr hoch angesetzt seien, könne seine Einreise in die Schweiz nicht bewilligt werden. Obwohl er durch die geschilderten Vorfälle persönlich stark betroffen sei, sei sein Gefährdungsrisiko dennoch als gering einzustufen. Zudem habe sich die menschenrechts- und sicherheitspolitische Situation im Süden und Westen des Landes verschärft und auch im Grossraum Colombo habe die Regierung verschärfte Sicherheitsbestimmungen erlassen. Dennoch herrsche in diesen Gebieten keine Situation allgemeiner Gewalt, weshalb nicht von einer generellen Unzumutbarkeit einer Wohnsitznahme in diesen Gebieten gesprochen werden könne. Auch betrachte es eine Aufenthaltsalternative im Grossraum Colombo weiterhin als grundsätzlich zumutbar.</w:t>
      </w:r>
    </w:p>
    <w:p>
      <w:r>
        <w:rPr>
          <w:b/>
        </w:rPr>
        <w:t>E. 5.3</w:t>
      </w:r>
    </w:p>
    <w:p>
      <w:r>
        <w:t>Der Beschwerdeführer machte in seiner Rechtsmitteleingabe vom 29. Dezember 2008 im Wesentlichen dieselben Gründe geltend, die er bereits in seinem Asylgesuch vom 20. Juni 2008, seinen Eingaben vom 11. Juli 2008, 5. und 15. August 2008, 22. September 2008, 28. Oktober 2008 und anlässlich seiner Befragung vom 31. Oktober 2008 sowie seinen weiteren Schreiben vom 16. und 22. Dezember 2008 gemacht hat, wonach er und seine Familie einerseits von Mitgliedern der LTTE und andererseits der STF behelligt und bedroht werde und um sein Leben fürchte. Aufgrund ihrer Herkunft sei auch der Wohnungsvermieter nicht mehr gewillt, ihnen ihre Wohnung noch länger zu vermieten.</w:t>
      </w:r>
    </w:p>
    <w:p>
      <w:r>
        <w:rPr>
          <w:b/>
        </w:rPr>
        <w:t>E. 5.4</w:t>
      </w:r>
    </w:p>
    <w:p>
      <w:r>
        <w:t>Einleitend ist festzuhalten, dass das Bundesverwaltungsgericht in Übereinstimmung mit der Vorinstanz die Glaubhaftigkeit der Vorbringen des Beschwerdeführers nicht in Frage stellt. Aufgrund der Aktenlage sind seine Vorbringen in der Rechtsmitteleingabe vom 29. Dezember 2008 indessen nicht geeignet, eine Änderung der vorinstanzlichen Verfügung zu bewirken. Der Argumentation des BFM werden keine stichhaltigen, überzeugenden und substanziierten Gründe entgegengesetzt; vielmehr beschränkt sich der Beschwerdeführer darauf, in seiner Eingabe den Sachverhalt zu wiederholen und durch weitere Tatsachenbehauptungen zu ergänzen. Die Ausführungen des Beschwerdeführers vermögen dementsprechend die substanziierten und nachvollziehbaren Erwägungen des BFM nicht umzustossen, dies umso weniger, als die geltend gemachte Furcht des Beschwerdeführers um sein Leben mangels objektiver Anhaltspunkte nicht nachvollziehbar erscheint und die geltend gemachte Bedrohung von Seiten der LTTE und der STF überzeichnet wirkt. Insbesondere ist nicht davon auszugehen, der Beschwerdeführer wäre seitens der STF nicht festgenommen worden, wenn sie ihn der Kollaboration mit den LTTE verdächtigt hätte. Des Weiteren sah der Beschwerdeführer davon ab, nationale wie auch internationale Organisationen um Hilfe zu ersuchen, um die von ihm geltend gemachten Gefahren abzuwehren, weshalb sich der Eindruck aufdrängt, er selbst schätze die ihm drohenden Gefahren anders ein als er sie darstellt. Für das Bundesverwaltungsgericht besteht somit nach Überprüfung der Akten keine Veranlassung, die Erwägungen des Bundesamtes zu beanstanden. Um Wiederholungen zu vermeiden, kann daher auf die zutreffenden Ausführungen in der angefochtenen Verfügung verwiesen werden. Insbesondere geht das BFM zu Recht davon aus, der Beschwerdeführer sei nicht schutzbedürftig im Sinne des Asylgesetzes. Seit der Beendigung des militärischen Konflikts zwischen der sri-lankischen Armee und den LTTE ist abschliessend ganz allgemein auf die erheblich verbesserte Lage in Sri Lanka hinzuweisen, wobei nicht übersehen wird, dass sich das Land noch in einem Entwicklungsprozess befindet. Zu diesem Schluss kam das Bundesverwaltungsgericht in einer umfassenden Analyse der Lage in Sri Lanka, die es in dem zur Publikation vorgesehenen Urteil BVGE E-6220/2006 vom 27. Oktober 2011 vorgenommen hat, wo es ausführte, dass sich seit dem Ende des bewaffneten Konflikts zwischen der sri-lankischen Armee und den LTTE sowie deren Vernichtung im Mai 2009 die Menschenrechts- und Sicherheitslage in Sri Lanka in bedeutsamer Weise stabilisiert habe (vgl. BVGE a.a.O. E. 12).</w:t>
      </w:r>
    </w:p>
    <w:p>
      <w:r>
        <w:rPr>
          <w:b/>
        </w:rPr>
        <w:t>E. 5.5</w:t>
      </w:r>
    </w:p>
    <w:p>
      <w:r>
        <w:t>Angesichts dieser Sachlage erübrigt es sich, auf die weiteren Vorbringen in der Beschwerde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nicht gegeben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