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E-4849/2013 vom 19. März 2014</w:t>
      </w:r>
    </w:p>
    <w:p>
      <w:r>
        <w:t>Bundesverwaltungsgericht, 2014-03-19, DE</w:t>
      </w:r>
    </w:p>
    <w:p>
      <w:r>
        <w:rPr>
          <w:b/>
        </w:rPr>
        <w:t xml:space="preserve">Quelle: </w:t>
      </w:r>
      <w:r>
        <w:t>https://mcp.opencaselaw.ch/entscheid/bvger_E-4849_2013</w:t>
      </w:r>
    </w:p>
    <w:p>
      <w:r>
        <w:t>FR: TAF E-4849/2013 du 19 mars 2014</w:t>
      </w:r>
    </w:p>
    <w:p>
      <w:r>
        <w:t>IT: TAF E-4849/2013 del 19 marzo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37 VGG, Art. 48 Abs. 1 und Art. 52 VwVG). Auf die Beschwerde ist einzutreten.</w:t>
      </w:r>
    </w:p>
    <w:p>
      <w:r>
        <w:rPr>
          <w:b/>
        </w:rPr>
        <w:t>E. 1.4</w:t>
      </w:r>
    </w:p>
    <w:p>
      <w:r>
        <w:t>Der Beschwerde kommt von Gesetzes wegen aufschiebende Wirkung zu (Art. 55 Abs. 1 VwVG), weshalb der entsprechende Antrag sich als gegenstandslos erweist.</w:t>
      </w:r>
    </w:p>
    <w:p>
      <w:r>
        <w:rPr>
          <w:b/>
        </w:rPr>
        <w:t>E. 1.5</w:t>
      </w:r>
    </w:p>
    <w:p>
      <w:r>
        <w:t>Die Beschwerde ist in einzelrichterlicher Zuständigkeit mit Zustimmung eines zweiten Richters zu behandeln, weil sie sich im Ergebnis als offensichtlich begründet erweist (Art.111 Bst. e AsylG).</w:t>
      </w:r>
    </w:p>
    <w:p>
      <w:r>
        <w:rPr>
          <w:b/>
        </w:rPr>
        <w:t>E. 1.6</w:t>
      </w:r>
    </w:p>
    <w:p>
      <w:r>
        <w:t>Die Kognition des Bundesverwaltungsgerichts und die zulässigen Rügen bestimmen sich nach Art. 106 Abs. 1 AsylG.</w:t>
      </w:r>
    </w:p>
    <w:p>
      <w:r>
        <w:rPr>
          <w:b/>
        </w:rPr>
        <w:t>E. 1.7</w:t>
      </w:r>
    </w:p>
    <w:p>
      <w:r>
        <w:t>Die Begründung der Beschwerdeanträge bindet das Gericht nicht, und es kann die Beschwerde auch aus anderen als den geltend gemachten Gründen gutheissen oder den angefochtenen Entscheid mit einer abweichenden Begründung bestätigen (vgl. Art. 62 Abs. 4 VwVG).</w:t>
      </w:r>
    </w:p>
    <w:p>
      <w:r>
        <w:rPr>
          <w:b/>
        </w:rPr>
        <w:t>E. 2.1</w:t>
      </w:r>
    </w:p>
    <w:p>
      <w:r>
        <w:t>Das BFM ist bei Asylverfahren, die Staatsangehörige Sri Lankas tamilischer Ethnie betreffen, systematisch dazu übergegangen, keine Ausreisefristen mehr anzusetzen und bereits angeordnete Ausreisefristen aufzuheben (vgl. Medienmitteilungen des BFM vom 4. September und 3. Oktober 2013).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Die Vorinstanz geht damit selbst davon aus, dass der Sachverhalt, wie er der Verfügung vom 22. August 2013 zugrunde liegt, offensichtlich nicht vollständig festgestellt ist; denn es besteht kein Zweifel, dass eine neue Lagebeurteilung vor Ort sich auf die konkrete Feststellung des rechtserheblichen Sachverhalts auswirken kann, sei es im Flüchtlings- oder im Wegweisungsvollzugspunkt.</w:t>
      </w:r>
    </w:p>
    <w:p>
      <w:r>
        <w:rPr>
          <w:b/>
        </w:rPr>
        <w:t>E. 2.2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vom 4. Oktober 2012 E. 4.6) und der Angemessenheitsprüfung verlustig ging (vgl. Kognitionsbeschränkung auf Beschwerdestufe durch den neuen Art. 106 Abs. 1 AsylG). Die vorliegend notwendigen Abklärungen bringen eine relativ aufwändige und umfangreiche Beweiserhebung mit sich. Bei vorliegenden Verfahrenskonstellation - Anfechtungsgegenstand ist ein Nichteintretensentscheid nach Art. 32 Abs. 2 Bst. e AsylG - fällt praxisgemäss aber ausser Betracht, dass die fehlende Entscheidungsreife durch das Gericht hergestellt wird. Der vorliegende Mangel einer unvollständigen Sachverhaltsfeststellung führt im Falle von Nichteintretensentscheiden zur Aufhebung der angefochtenen Verfügung.</w:t>
      </w:r>
    </w:p>
    <w:p>
      <w:r>
        <w:rPr>
          <w:b/>
        </w:rPr>
        <w:t>E. 2.3</w:t>
      </w:r>
    </w:p>
    <w:p>
      <w:r>
        <w:t>Die Beschwerde ist demnach insoweit gutzuheissen. Die angefochtene Verfügung ist aufzuheben und die Sache zur vollständigen Sachverhaltsfeststellung sowie zu neuer Entscheidung an die Vorinstanz zurückzuweisen. Die vorinstanzlichen Akten sind zusammen mit dem Beschwerdedossier, welches ebenfalls Prozessstoff des vorinstanzlichen Verfahrens bilden wird, dem BFM zuzustellen. Auf die weiteren formalen und inhaltlichen Vorbringen der Beschwerdeführenden ist bei diesem Verfahrensgang nicht weiter einzugehen.</w:t>
      </w:r>
    </w:p>
    <w:p>
      <w:r>
        <w:rPr>
          <w:b/>
        </w:rPr>
        <w:t>E. 3.1</w:t>
      </w:r>
    </w:p>
    <w:p>
      <w:r>
        <w:t>Bei diesem Ausgang des Verfahrens sind keine Kosten zu erheben (Art. 63 Abs. 1 und 2 VwVG). Mithin erweist sich das Gesuch um Gewährung der unentgeltlichen Prozessführung als gegenstandslos.</w:t>
      </w:r>
    </w:p>
    <w:p>
      <w:r>
        <w:rPr>
          <w:b/>
        </w:rPr>
        <w:t>E. 3.2</w:t>
      </w:r>
    </w:p>
    <w:p>
      <w:r>
        <w:t>Das Gesuch um unentgeltliche Verbeiständung ist mangels Notwendigkeit einer professionellen Rechtsvertretung auf Beschwerdestufe abzuweisen (Art. 65 Abs. 2 VwVG; vgl. auch Übergangsbestimmungen zur Änderung vom 14. Dezember 2012 [AS 2012 5359] Ziff. 4 Satz 2).</w:t>
      </w:r>
    </w:p>
    <w:p>
      <w:r>
        <w:rPr>
          <w:b/>
        </w:rPr>
        <w:t>E. 3.3</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keine Kostennote zu den Akten gereicht. Der zu entschädigende Vertretungsaufwand ist unter diesen Umständen aufgrund der Akten festzulegen (Art. 14 Abs. 2 VGKE). Die Parteientschädigung ist unter Berücksichtigung der massgebenden Bemessungsfaktoren (vgl. Art. 7 ff. VGKE) und der Entschädigungspraxis in vergleichbaren Fällen von Amtes wegen auf insgesamt Fr. 1500.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