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E-4843/2008 vom 9. Februar 2009</w:t>
      </w:r>
    </w:p>
    <w:p>
      <w:r>
        <w:t>Bundesverwaltungsgericht, 2009-02-09, DE</w:t>
      </w:r>
    </w:p>
    <w:p>
      <w:r>
        <w:rPr>
          <w:b/>
        </w:rPr>
        <w:t xml:space="preserve">Quelle: </w:t>
      </w:r>
      <w:r>
        <w:t>https://mcp.opencaselaw.ch/entscheid/bvger_E-4843_2008</w:t>
      </w:r>
    </w:p>
    <w:p>
      <w:r>
        <w:t>FR: TAF E-4843/2008 du 9 février 2009</w:t>
      </w:r>
    </w:p>
    <w:p>
      <w:r>
        <w:t>IT: TAF E-4843/2008 del 9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Bezug auf das hängige Asylverfahren ist von der Prozessfähigkeit der Beschwerdeführerin auszugehen, die in der Rechtsmitteleingabe nicht bestritten wird (vgl. Entscheidungen und Mitteilungen der Schweizerischen Asylrekurskommission [EMARK] 1996 Nr. 3, S.19).</w:t>
      </w:r>
    </w:p>
    <w:p>
      <w:r>
        <w:rPr>
          <w:b/>
        </w:rPr>
        <w:t>E. 1.3</w:t>
      </w:r>
    </w:p>
    <w:p>
      <w:r>
        <w:t>Die Beschwerde ist form- und fristgerecht eingereicht. Die Beschwerdeführerin ist durch die angefochtene Verfügung besonders berührt und hat ein schutzwürdiges Interesse an deren Aufhebung beziehungsweise Änderung. Die zwischenzeitlich auch eigenen Angaben zufolge volljährig gewordene Beschwerdeführerin ist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der Beschwerdeführerin ab, da ihre Vorbringen den Anforderungen an die Glaubhaftigkeit gemäss Art. 7 AsylG nicht zu genügen vermöchten. Dazu wird ausgeführt, die Beschwerdeführerin habe bis dato weder rechtsgenügliche Ausweispapiere noch andere Dokumente wie beispielsweise Schulzeugnisse oder eine Geburtsurkunde zu den Akten gereicht. Dass sie ihre wahre Identität zu verheimlichen versuche, gehe auch aus den Abklärungen der Schweizer Vertretung in Addis Abeba hervor, wonach weder die Beschwerdeführerin noch deren Mutter an der angegeben Adresse gewohnt hätten und die Beschwerdeführerin auch in der genannten Schule nicht bekannt sei. Es bestünden daher grundsätzliche Zweifel an der behaupteten Herkunft und Nationalität der Beschwerdeführerin. Zudem seien die Aussagen widersprüchlich, realitätsfremd und unsubstanziiert ausgefallen. Einmal habe sie erklärt, ihr Vater sei anlässlich der Ausschaffung nach Eritrea auf der Reise verstorben, ein anderes Mal, sie habe keine Ahnung, ob er auf dem Weg nach Eritrea verstorben sei. Einmal wolle ihre Mutter vom Tode ihres Ehemannes von "einigen Personen", an anderer Stelle von einem Freund eines ihrer Söhne, die sie namentlich nenne, erfahren haben. Wenn die äthiopischen Behörden der Beschwerdeführerin hätten habhaft werden wollen, wäre es ihnen auch gelungen, zumal die Beschwerdeführerin seit dem Jahre 2000 lediglich zweimal ihre Adresse innerhalb von Addis Abeba gewechselt und sich gar einmal während mehreren Tagen in einem öffentlichen Spital aufgehalten haben wolle. Schliesslich habe die Beschwerdeführerin über ihre angeblichen Verwandten in Eritrea und ihre in (...) lebende Tante, welche sie und ihre Mutter während Jahren finanziell unterstützt und auch die Ausreise finanziert haben soll, keine substanziierten Angaben machen können.</w:t>
      </w:r>
    </w:p>
    <w:p>
      <w:r>
        <w:rPr>
          <w:b/>
        </w:rPr>
        <w:t>E. 5.2</w:t>
      </w:r>
    </w:p>
    <w:p>
      <w:r>
        <w:t>Aus der Rechtsmitteleingabe ergibt sich als Rüge die Verletzung von Bundesrecht, indem zu Unrecht auf Unglaubhaftigkeit der Vorbringen geschlossen worden sei. Die Begründung der erhobenen Rüge erweist sich jedoch als zu wenig substanziiert und überzeugend, um damit die vorinstanzlichen Erwägungen entkräften zu können. So begnügt sich die Beschwerdeführerin im Wesentlichen mit einer Wiederholung ihrer Vorbringen, dem Beharren auf ihrer eritreischen Abstammung und der Furcht vor einer Verfolgung bei einer Rückführung dorthin. Sie unterlässt es jedoch, zu den einzelnen Unglaubhaftigkeitselementen des BFM, welche vom Bundesverwaltungsgericht zu bestätigen sind, konkret Stellung zu nehmen. In Übereinstimmung mit der Vorinstanz ist jedoch auch nach einer genauen Prüfung der vorliegenden Akten - und wie bereits in der Zwischenverfügung vom 30. Juli 2008 angeführt wurde - festzustellen, dass sowohl die angebliche eritreische Herkunft als auch die damit verbundene Angst vor einer Ausschaffung dorthin unglaubhaft geblieben sind. Insbesondere unterliess es die Beschwerdeführerin bis heute, irgendwelche Ausweispapiere respektive Dokumente beizubringen, welche ihre Angaben zu stützen vermöchten, oder mindestens entsprechende Beschaffungsbemühungen offen zu legen. Es erübrigen sich nach dem gesagten weitere Erörterungen, und die erhobene Rüge ist als unbegründet zu bezeichnen.</w:t>
      </w:r>
    </w:p>
    <w:p>
      <w:r>
        <w:rPr>
          <w:b/>
        </w:rPr>
        <w:t>E. 5.3</w:t>
      </w:r>
    </w:p>
    <w:p>
      <w:r>
        <w:t>Ohne noch näher auf die Ausführungen in der Beschwerde einzugehen, ist zusammenfassend festzuhalten, dass die Beschwerdeführerin keine Gründe nach Art. 3 AsylG nachweisen oder glaubhaft machen konnte. Die Vorinstanz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Gemäss der bisherigen Rechtsprechung des Bundesverwaltungsgerichts wurde in Äthiopien keine Situation allgemeiner Gewalt festgestellt, weshalb in konstanter Praxis von der generellen Zumutbarkeit des Wegweisungsvollzugs nach Äthiopien ausgegangen wurde (vgl. Urteile des Bundesverwaltungsgerichts E-113/2008 vom 26. Mai 2008, D-4943/2006 vom 8. Juli 2008; EMARK 1998 Nr. 22). Die neuere Rechtsprechung stützte sich dabei unter anderem darauf, dass seit der Unterzeichnung des Friedensabkommens zwischen Äthiopien und Eritrea am 12. Dezember 2000 mit dem sogenannten UNMEE-Mandat betraute UNO-Soldaten die Grenze zwischen den beiden Ländern kontrolliert haben. Zum 31. Juli 2008 wurde das UNMEE-Mandat beendet und die die Grenze kontrollierenden UNO-Soldaten abgezogen, wie in der Rechtsmitteleingabe zutreffend ausgeführt wurde. Es ist damit in der Tat fraglich, ob die bisherige Praxis in dieser Allgemeinheit weiterhin Gültigkeit für sich beanspruchen kann. Indessen haben sich die Kampfhandlungen zwischen eritreischen und äthiopischen Truppen in räumlicher Hinsicht seit jeher auf das Grenzgebiet zwischen beiden Staaten beschränkt. Die Beschwerdeführerin stammt aus der im Landesinnern und von der Grenze mehrere hundert Kilometer entfernt liegenden Hauptstadt Addis Abeba, welche vom Grenzkonflikt in keiner Weise betroffen ist. Schliesslich sind keine individuellen Gründe ersichtlich, die gegen die Zumutbarkeit des Wegweisungsvollzugs sprechen würden. Bei der Beschwerdeführerin handelt es sich um eine junge, gemäss Aktenlage gesunde Frau, die von Geburt an und bis zur Ausreise in Addis Abeba gelebt hat. Aufgrunddessen sowie der unglaubhaft gebliebenen Vorbringen ist zudem davon auszugehen, dass die Beschwerdeführerin in Addis Abeba über ein Beziehungsnetz verfügt, sie mithin bei einer Rückkehr dorthin nicht auf sich allein gestellt ist. Nach dem Gesagten erweist sich Vollzug der Wegweisung auch als zumutbar.</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und 5 VwVG), auf insgesamt Fr. 600.-- festzusetzen (Art. 1-3 des Reglements vom 21. Februar 2008 über die Kosten und Entschädigungen vor dem Bundesverwaltungsgericht [VGKE, SR 173.320.2]) und mit dem am 11. August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