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E-483/2017 vom 24. Oktober 2019</w:t>
      </w:r>
    </w:p>
    <w:p>
      <w:r>
        <w:t>Bundesverwaltungsgericht, 2019-10-24, DE</w:t>
      </w:r>
    </w:p>
    <w:p>
      <w:r>
        <w:rPr>
          <w:b/>
        </w:rPr>
        <w:t xml:space="preserve">Quelle: </w:t>
      </w:r>
      <w:r>
        <w:t>https://mcp.opencaselaw.ch/entscheid/bvger_E-483_2017</w:t>
      </w:r>
    </w:p>
    <w:p>
      <w:r>
        <w:t>FR: TAF E-483/2017 du 24 octobre 2019</w:t>
      </w:r>
    </w:p>
    <w:p>
      <w:r>
        <w:t>IT: TAF E-483/2017 del 24 ottobre 2019</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und Art. 6 AsylG).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diese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diverse formelle Rügen erhoben, welche vorab zu beurteilen sind, da sie - sofern begründet - allenfalls geeignet wären, eine Kassation der vorinstanzlichen Verfügung zu bewirken.</w:t>
      </w:r>
    </w:p>
    <w:p>
      <w:r>
        <w:rPr>
          <w:b/>
        </w:rPr>
        <w:t>E. 3.1</w:t>
      </w:r>
    </w:p>
    <w:p>
      <w:r>
        <w:t>Soweit der Beschwerdeführer eine unvollständige Akteneinsichtsgewährung rügt, ist ein allfälliger Mangel im Rahmen des Beschwerdeinstruktionsverfahrens behoben und geheilt worden. Dem Beschwerdeführer wurde ergänzend Akteneinsicht gewährt (Instruktionsverfügungen vom 27. Januar 2017 und 23. Februar 2017; vgl. oben Bst. D), und er konnte ergänzend Stellung nehmen (Eingaben vom 13. Februar 2017 und 10. März 2017, vgl. oben Bst. E und F).</w:t>
      </w:r>
    </w:p>
    <w:p>
      <w:r>
        <w:rPr>
          <w:b/>
        </w:rPr>
        <w:t>E. 3.2</w:t>
      </w:r>
    </w:p>
    <w:p>
      <w:r>
        <w:t>Weiter rügt der Beschwerdeführer unter anderem eine Verletzung des Anspruchs auf rechtliches Gehör und der Begründungspflicht sowie der Pflicht zur vollständigen und richtigen Abklärung des rechtserheblichen Sachverhalts. Im Weiteren rügt er in umfangreichen und ausführlichen, nicht konkret auf den Fall des Beschwerdeführers bezogenen, sondern allgemein gehaltenen und auf die Situation in Sri Lanka fokussierenden Ausführungen das Vorgehen des SEM. Auf den Aspekt der vollständigen und richtigen Abklärung des rechtserheblichen Sachverhalts konzentrieren sich die nachfolgenden Erwägungen.</w:t>
      </w:r>
    </w:p>
    <w:p>
      <w:r>
        <w:rPr>
          <w:b/>
        </w:rPr>
        <w:t>E. 3.3</w:t>
      </w:r>
    </w:p>
    <w:p>
      <w:r>
        <w:t>Die Behörde ist im Asylverfahren - wie auch im übrigen Verwaltungsverfahren - aufgrund der geltenden Untersuchungsmaxime verpflichtet, von Amtes wegen für die richtige und vollständige Abklärung des rechtserheblichen Sachverhaltes zu sorgen (Art. 6 AsylG i.V.m. Art. 12 VwVG, Art. 106 Abs. 1 Bst. b AsylG). Es obliegt ihr im Rahmen des rechtlichen Gehörs (Art. 29 Abs. 2 BV, Art. 29 und 32 Abs. 1 VwVG), die Vorbringen der asylsuchenden Person entgegen zu nehmen, diese auch wirklich zu hören, sorgfältig zu prüfen und sich damit in der Entscheidfindung sachgerecht auseinanderzusetzen (BVGE 2008/47 mit weiteren Hinweisen; Bernhard Waldmann/Jürg Bickel, in: Bernhard Waldmann/ Philippe Weissenberger [Hrsg.], Praxiskommentar VwVG, 2. Auflage, Art. 30, N 6). Ebenfalls ist sie gehalten, unter Mitwirkung der Partei die für das Verfahren erforderlichen Sachverhaltsunterlagen zu beschaffen, die relevanten Umstände abzuklären und darüber ordnungsgemäss Beweis zu führen.</w:t>
      </w:r>
    </w:p>
    <w:p>
      <w:r>
        <w:rPr>
          <w:b/>
        </w:rPr>
        <w:t>E. 3.4</w:t>
      </w:r>
    </w:p>
    <w:p>
      <w:r>
        <w:t>Wie sich aus dem Nachstehenden ergibt, besteht im vorliegenden Verfahren Anlass, zu prüfen, ob das SEM den rechtserheblichen Sachverhalt nicht vollständig abgeklärt hat, sowie ob es den Anspruch des Beschwerdeführers auf rechtliches Gehör verletzt hat, indem eingereichte Beweisunterlagen unzulänglich geprüft und gewürdigt worden sind. Der Anspruch auf rechtliches Gehör ist formeller Natur. Eine Verletzung des rechtlichen Gehörs führt deshalb grundsätzlich, das heisst ungeachtet der materiellen Auswirkungen, zur Aufhebung des daraufhin ergangenen Entscheides. Eine Heilung von Gehörsverletzungen ist aus prozessökonomischen Gründen auf Beschwerdeebene nur möglich, sofern das Versäumte nachgeholt wird, die beschwerdeführende Person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zum Ganzen: BVGE 2013/23 E. 6.1.3, BVGE 2009/53 E. 7.3, je m.w.H.). Eine mangelhafte Sachverhaltserstellung ist sodann in der Regel nicht auf Beschwerdeebene zu vervollständigen; es obliegt nicht dem Gericht, an Stelle der Vorinstanz den Sachverhalt zu erstellen, zumal dem Beschwerdeführer diesfalls der Instanzenzug nicht erhalten bliebe.</w:t>
      </w:r>
    </w:p>
    <w:p>
      <w:r>
        <w:rPr>
          <w:b/>
        </w:rPr>
        <w:t>E. 4</w:t>
      </w:r>
    </w:p>
    <w:p>
      <w:r>
        <w:t>Das SEM ging in seiner ablehnenden Verfügung davon aus, dass das Asylgesuch des Beschwerdeführers gestützt auf die Aktenlage abschliessend beurteilt werden könne. Dieser Einschätzung kann das Gericht vorliegend nicht folgen.</w:t>
      </w:r>
    </w:p>
    <w:p>
      <w:r>
        <w:rPr>
          <w:b/>
        </w:rPr>
        <w:t>E. 4.1</w:t>
      </w:r>
    </w:p>
    <w:p>
      <w:r>
        <w:t>Der Beschwerdeführer verwies bereits bei der BzP auf seinen Bruder C._______ und gab dazu an, dieser Bruder sei bei den LTTE gewesen. Der Beschwerdeführer sei zusammen mit diesem Bruder am 13. Juni 2011 vom CID festgenommen und anschliessend auf den Polizeiposten in K._______ respektive ins Armee-Camp in J._______ verbracht worden. Nach einer achtmonatigen Inhaftierung in E._______ sei sein Bruder ins Gefängnis in D._______ gebracht worden, während er selbst - der Beschwerdeführer - nach einem Monat freigelassen worden sei (vgl. Ziff. 3.01 und 7.01). Bei der einlässlichen Anhörung zu den Asylgründen am 25. Juli 2016 trug der Beschwerdeführer weiter vor, sein Bruder befinde sich nach wie vor in Haft. Er reichte in diesem Zusammenhang mehrere Beweismittel ein, insbesondere eine IKRK-Karte, eine Haftbestätigung, mehrere Zeitungsartikel sowie Unterlagen des (...) in M._______, in welchem dieser namentlich erwähnt werde (vgl. A13, Fragen 8-15). Zum Bruder C._______ trug er weiter vor, dieser sei etwa 1994/1995 den LTTE beigetreten respektive zwangsrekrutiert worden und bis 2003 bei dieser Bewegung aktiv gewesen. Nach seinem Austritt bei den LTTE sei er nach (...) gegangen. Nach seiner Rückkehr aus dem Ausland sei C._______ zusammen mit dem Beschwerdeführer in der (...)werkstatt festgenommen worden (A13, F 19, 24-34, 40, 106, 141, 234). Im Rahmen derselben Anhörung machte der Beschwerdeführer weiter geltend, man habe ihn selbst beschuldigt, zusammen mit seinem Bruder (...) verübt zu haben. (...); man habe geglaubt, dass er - der Beschwerdeführer - und sein Bruder etwas mit diesem Attentat zu tun gehabt hätten (A13, F 119). In diesem Zusammenhang verwies er wiederum auf die beim SEM eingereichten Gerichtsunterlagen des High Court in M._______ (Beweismittel Nr. 8; vgl. Beweismittelcouvert). Ergänzend brachte er vor, während seiner Inhaftierung in Colombo «im vierten Stock» sei er zu den Aktivitäten seines Bruders und zum (...) befragt worden (A13, F 118-124).</w:t>
      </w:r>
    </w:p>
    <w:p>
      <w:r>
        <w:rPr>
          <w:b/>
        </w:rPr>
        <w:t>E. 4.2</w:t>
      </w:r>
    </w:p>
    <w:p>
      <w:r>
        <w:t>Die vom Beschwerdeführer im vorinstanzlichen Verfahren eingereichten Beweismittel, in welchen der Bruder C._______ im Zusammenhang mit den LTTE aufgeführt und aus denen der behördliche Vorwurf der Beteiligung an einem Attentat der LTTE (...) hervorgehen soll, sind vom SEM nicht übersetzt worden. Namentlich bezüglich der Gerichtsakten des High Court von M._______ und der Zeitungsberichte - angeblich zum (...) - liegen keine Übersetzungen oder Zusammenfassungen des wesentlichen Inhalts vor. Das SEM beschränkte sich vielmehr darauf, im Anhörungsprotokoll vom 25. Juli 2016 festzuhalten, der bei der Anhörung anwesende Dolmetscher habe bestätigt, dass im Gerichtsdokument der Name des Bruders aufgeführt sei und der Sachverhalt «geschildert» sowie "ein erster und ein zweiter Vorwurf ... erwähnt" würden (vgl. A23, F 14). Nähere inhaltliche Angaben zu dem im Gerichtsdokument aufgeführten Sachverhalt oder zu den Vorwürfen wurden nicht gemacht.</w:t>
      </w:r>
    </w:p>
    <w:p>
      <w:r>
        <w:rPr>
          <w:b/>
        </w:rPr>
        <w:t>E. 4.3</w:t>
      </w:r>
    </w:p>
    <w:p>
      <w:r>
        <w:t>In der angefochtenen Verfügung hielt das SEM zu den eingereichten Beweismitteln fest, die Zeitungsartikel, der Auszug aus den Gerichtsakten und die Todesurkunde des Cousins lägen alle nur in tamilischer Sprache vor; diese Beweismittel sowie die IKRK-Registrationskarte und die Haftbestätigung des Bruders würden in keinem direkten Zusammenhang zum Beschwerdeführer stehen, weshalb diese nicht geeignet seien, dessen Vorbringen zu belegen. Dieser Einschätzung kann sich das Gericht aufgrund der derzeitigen Aktenlage nicht anschliessen.</w:t>
      </w:r>
    </w:p>
    <w:p>
      <w:r>
        <w:rPr>
          <w:b/>
        </w:rPr>
        <w:t>E. 4.3.1</w:t>
      </w:r>
    </w:p>
    <w:p>
      <w:r>
        <w:t>(...)</w:t>
      </w:r>
    </w:p>
    <w:p>
      <w:r>
        <w:rPr>
          <w:b/>
        </w:rPr>
        <w:t>E. 4.3.2</w:t>
      </w:r>
    </w:p>
    <w:p>
      <w:r>
        <w:t>Der Beschwerdeführer leitet seine geltend gemachte Verfolgungslage in Sri Lanka massgeblich von der LTTE-Mitgliedschaft seines Bruders C._______ und dessen behördlicher Verfolgung im Zusammenhang mit einem behördlichen Verdacht der Mitbeteiligung an (...) ab. Das SEM ist diesen Vorbringen nicht weiter nachgegangen, hat die diesbezüglich eingereichten Beweismittel nicht übersetzt und in der Folge auch inhaltlich nicht gewürdigt. Die vom Beschwerdeführer geltend gemachte Reflexverfolgung im Zusammenhang mit der LTTE-Mitgliedschaft seines Bruders und dessen allfälliger Verwicklung in ein LTTE-Attentat, über welche mehrfach in den internationalen Medien berichtet worden ist, hat das SEM nicht geprüft. Dies erstaunt umso mehr, als das SEM in seiner Vernehmlassung selbst nicht grundsätzlich in Frage stellt, dass der Bruder des Beschwerdeführers wegen möglicherweise strafrechtlich relevanter Delikte inhaftiert sei. Das SEM zweifelt auch nicht grundsätzlich daran, dass der Beschwerdeführer selbst in Haft gewesen sei. Hinsichtlich der zu den Akten gereichten Beweismittel beschränkt sich das SEM auf einen pauschalen Verweis auf den angeblich fehlenden persönlichen Bezug zum Beschwerdeführer, ohne dass die sich offensichtlich aufdrängenden vertieften Abklärungen vorgenommen worden wären. Dies vermag nicht zu überzeugen.</w:t>
      </w:r>
    </w:p>
    <w:p>
      <w:r>
        <w:rPr>
          <w:b/>
        </w:rPr>
        <w:t>E. 4.3.3</w:t>
      </w:r>
    </w:p>
    <w:p>
      <w:r>
        <w:t>Entgegen den Ausführungen in der angefochtenen Verfügung (Ziff. II/1, 5. Textabschnitt auf S. 4) sind diese Vorbringen und Beweismittel, welche den Bruder betreffen, für die Beurteilung des Asylgesuchs des Beschwerdeführers nicht irrelevant. Es ist nicht ausgeschlossen, dass zum heutigen Zeitpunkt - und trotz Beendigung der kriegerischen Auseinandersetzungen zwischen den sri-lankischen Sicherheitskräften und den LTTE - nach wie vor Angehörige von ehemaligen LTTE-Mitgliedern in Sri Lanka eine begründete Furcht haben, Opfer von flüchtlingsrelevanter Reflexverfolgung zu werden (vgl. hierzu den als Referenzurteil publizierten Entscheid E-1866/2015 vom 15. Juli 2016, E. 8.5.3).</w:t>
      </w:r>
    </w:p>
    <w:p>
      <w:r>
        <w:rPr>
          <w:b/>
        </w:rPr>
        <w:t>E. 4.3.4</w:t>
      </w:r>
    </w:p>
    <w:p>
      <w:r>
        <w:t>Für die Beantwortung der Frage nach einer flüchtlingsrelevanten Reflexverfolgung des Beschwerdeführers ist die Beleuchtung seines familiären Umfeldes unabdingbar. Im vorinstanzlichen Verfahren hätten sich sowohl weitere Abklärungen zum aktuellen Schicksal des Bruders C._______ (zur Frage, ob gegen diesen tatsächlich ein Prozess im Zusammenhang mit dem Verdacht der Beteiligung an einem LTTE-(...) geführt wurde, ob diesfalls ein Gerichtsurteil betreffend diesen Bruder vorliegt, ob dieser nach wie vor inhaftiert ist und weshalb) als auch zur aktuellen Situation der übrigen Familienmitglieder im Heimatland aufgedrängt.</w:t>
      </w:r>
    </w:p>
    <w:p>
      <w:r>
        <w:rPr>
          <w:b/>
        </w:rPr>
        <w:t>E. 4.4</w:t>
      </w:r>
    </w:p>
    <w:p>
      <w:r>
        <w:t>Vorliegend stellt sich die Frage, ob dem Beschwerdeführer im Zeitpunkt seiner Ausreise aus Sri Lanka oder allenfalls im Falle einer Rückkehr in sein Heimatland eine Reflexverfolgung droht. Die Vorinstanz hat durch mangelnde und unvollständige Abklärung der aktuellen Situation des Bruders C._______, namentlich im Zusammenhang mit einem allfällig gegen diesen eingereichten Strafverfahren wegen Beteiligung an einem (...) LTTE-Anschlag (...), den Sachverhalt nicht rechtsgenüglich abgeklärt. Gleichzeitig hat sie die diesbezüglich eingereichten Beweise nicht korrekt abgenommen und gewürdigt und damit den Anspruch des Beschwerdeführers auf rechtliches Gehör verletzt. Die aktuell vorliegende Aktenlage erlaubt eine abschliessende Beurteilung der Vorbringen des Beschwerdeführers nicht. Eine Heilung dieses Verfahrensmangels respektive eine Ergänzung der Sachverhaltserstellung und umfassende Sachverhaltsabklärung nunmehr auf Beschwerdestufe würde den Rahmen einer Beschwerdeinstruktion klarerweise sprengen, da sich die Entscheidungsreife nicht mit geringem Aufwand herstellen lässt. Wie oben (E. 3.4) festgehalten, kann es nicht Aufgabe des Gerichts sein, den rechtserheblichen Sachverhalt festzustellen, wenn dies die Vorinstanz versäumte; nicht zuletzt entginge dem Beschwerdeführer dadurch eine Rechtsmittelinstanz.</w:t>
      </w:r>
    </w:p>
    <w:p>
      <w:r>
        <w:rPr>
          <w:b/>
        </w:rPr>
        <w:t>E. 4.5</w:t>
      </w:r>
    </w:p>
    <w:p>
      <w:r>
        <w:t>Zusammenfassend ist festzustellen, dass die Frage, ob der Beschwerdeführer aufgrund der geltend gemachten Vorfälle und seines familiären Hintergrunds im Heimatland eine begründete Furcht vor zukünftiger Verfolgung (Reflexverfolgung) hat, nicht abschliessend beurteilt werden kann. Offen bleiben namentlich die Fragen rund um das Schicksal des Bruders C._______. Bezüglich dieser Aspekte fehlt es auch an einer umfassenden Prüfung und Würdigung der bereits vorliegenden Unterlagen durch die Vorinstanz. Namentlich ist eine sorgfältige Prüfung der Echtheit der eingereichten Beweismittel im Zusammenhang mit dem angeblich gegen den Bruder eingeleiteten Verfahren wegen aktiver Beteiligung an einem LTTE-Attentat (...) unumgänglich. Es ist Sache des SEM, in geeigneter Form die noch offenen Fragen zu klären und die Konsequenzen der Untersuchungsergebnisse im Asylverfahren des Beschwerdeführers - unter Mitberücksichtigung der übrigen Asylvorbringen - umfassend zu würdigen.</w:t>
      </w:r>
    </w:p>
    <w:p>
      <w:r>
        <w:rPr>
          <w:b/>
        </w:rPr>
        <w:t>E. 5</w:t>
      </w:r>
    </w:p>
    <w:p>
      <w:r>
        <w:t>Bei dieser Sachlage erübrigt es sich, an dieser Stelle weiter auf die vom Beschwerdeführer vorgetragenen formellen Rügen und Vorbringen zur geltend gemachten Verfolgungssituation näher einzugehen.</w:t>
      </w:r>
    </w:p>
    <w:p>
      <w:r>
        <w:rPr>
          <w:b/>
        </w:rPr>
        <w:t>E. 6</w:t>
      </w:r>
    </w:p>
    <w:p>
      <w:r>
        <w:t>Aus diesen Erwägungen ergibt sich, dass die Beschwerde gutzuheissen ist, soweit die Aufhebung der vorinstanzlichen Verfügung beantragt wird. Die Verfügung des SEM vom 22. Dezember 2016 ist aufzuheben und die Sache im Sinne der Erwägungen zur umfassenden Erstellung des rechtserheblichen Sachverhalts und zur Neubeurteilung an das SEM zurückzuweisen.</w:t>
      </w:r>
    </w:p>
    <w:p>
      <w:r>
        <w:rPr>
          <w:b/>
        </w:rPr>
        <w:t>E. 7.1</w:t>
      </w:r>
    </w:p>
    <w:p>
      <w:r>
        <w:t>Bei diesem Ausgang des Verfahrens sind keine Verfahrenskosten aufzuerlegen (vgl. Art. 63 Abs. 1 VwVG). Der am 13. Februar 2017 geleistete Kostenvorschuss von Fr. 600.- ist dem Beschwerdeführer zurückzuerstatten.</w:t>
      </w:r>
    </w:p>
    <w:p>
      <w:r>
        <w:rPr>
          <w:b/>
        </w:rPr>
        <w:t>E. 7.2</w:t>
      </w:r>
    </w:p>
    <w:p>
      <w:r>
        <w:t>Dem vertretenen Beschwerdeführer ist eine Parteientschädigung für die ihm notwendigerweise erwachsenen Parteikosten zuzusprechen, da er mit seinem Beschwerdebegehren betreffend Aufhebung der angefochtenen Verfügung und Rückweisung der Sache an die Vorinstanz durchgedrungen ist (Art. 64 Abs. 1 VwVG und Art. 7 ff. des Reglements über die Kosten und Entschädigungen vor dem Bundesverwaltungsgericht vom 21. Februar 2008 [VGKE, SR 173.320.2]). Der Rechtsvertreter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Rechtsschriften im Beschwerdeverfahren sowohl zahlreiche redundante Passagen als auch ausserordentlich weitschweifige Ausführungen zur allgemeinen Lage in Sri Lanka beinhalten, welche sich in gleicher Form regelmässig auch in den Eingaben des Rechtsvertreters in anderen Beschwerdeverfahren finden. Die von der Vorinstanz zu entrichtende Parteientschädigung ist in Berücksichtigung dieser Umstände sowie der übrigen massgeblichen Bemessungsfaktoren (vgl. Art. 8 ff. VGKE) auf Fr. 2'000.- festzusetzen.</w:t>
      </w:r>
    </w:p>
    <w:p>
      <w:r>
        <w:rPr>
          <w:b/>
        </w:rPr>
        <w:t>E. 8</w:t>
      </w:r>
    </w:p>
    <w:p>
      <w:r>
        <w:t>Die Beschwerdeakten E-483/2017 gehen kurzfristig ans SEM zur Durchsicht der Unterlagen, welche die Vorinstanz für das wiederaufzunehmende erstinstanzliche Verfahren benötigt, mit der Bitte um zeitnahe Retournierung der Beschwerdeakten ans 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