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E-4838/2016 vom 11. Juli 2017</w:t>
      </w:r>
    </w:p>
    <w:p>
      <w:r>
        <w:t>Bundesverwaltungsgericht, 2017-07-11, DE</w:t>
      </w:r>
    </w:p>
    <w:p>
      <w:r>
        <w:rPr>
          <w:b/>
        </w:rPr>
        <w:t xml:space="preserve">Quelle: </w:t>
      </w:r>
      <w:r>
        <w:t>https://mcp.opencaselaw.ch/entscheid/bvger_E-4838_2016</w:t>
      </w:r>
    </w:p>
    <w:p>
      <w:r>
        <w:t>FR: TAF E-4838/2016 du 11 juillet 2017</w:t>
      </w:r>
    </w:p>
    <w:p>
      <w:r>
        <w:t>IT: TAF E-4838/2016 del 11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w:t>
      </w:r>
    </w:p>
    <w:p>
      <w:r>
        <w:rPr>
          <w:b/>
        </w:rPr>
        <w:t>E. 4.2</w:t>
      </w:r>
    </w:p>
    <w:p>
      <w:r>
        <w:t>Das Beschwerdeverfahren dreht sich inhaltlich im Wesentlichen um die Frage der Zulässigkeit der Überstellung des Beschwerdeführers nach Ungarn gestützt auf die Dublin-III-VO.</w:t>
      </w:r>
    </w:p>
    <w:p>
      <w:r>
        <w:rPr>
          <w:b/>
        </w:rPr>
        <w:t>E. 4.3</w:t>
      </w:r>
    </w:p>
    <w:p>
      <w:r>
        <w:t>Das Bundesverwaltungsgericht hat im Urteil D-7853/2015 vom 31. Mai 2017 (vgl. E. 3) eingehend die Entwicklung der Situation für Asylsuchende in Ungarn analysiert; insbesondere die Situation jener, die in Anwendung der Dublin-III-VO nach Ungarn überstellt werden. Dabei hat das Gericht zahlreiche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mit einem Sachentscheid sonst seine Zuständigkeit überschreiten und die betroffene Partei um den gesetzlich vorgesehenen Instanzenzug bringen (vgl. a.a.O., insbesondere E. 13).</w:t>
      </w:r>
    </w:p>
    <w:p>
      <w:r>
        <w:rPr>
          <w:b/>
        </w:rPr>
        <w:t>E. 4.4</w:t>
      </w:r>
    </w:p>
    <w:p>
      <w:r>
        <w:t>Aus den vorstehend genannten Gründen ist es dem Gericht auch vorliegend nicht möglich, die Sache abschliessend zu beurteilen. Die angefochtene Verfügung ist aufzuheben und die Sache zur vollständigen Sachverhaltsfeststellung sowie zu neuer Entscheidung an das SEM zurückzuweisen. Die Beschwerdeakten bilden dabei ebenfalls Prozessstoff des von der Vorinstanz wieder aufzunehmenden Verfahrens. Die Beschwerde ist daher hinsichtlich des Kassationsantrages gutzuheissen. Es erübrigt sich, auf den weiteren Inhalt der Beschwerde näher einzugehen.</w:t>
      </w:r>
    </w:p>
    <w:p>
      <w:r>
        <w:rPr>
          <w:b/>
        </w:rPr>
        <w:t>E. 5.1</w:t>
      </w:r>
    </w:p>
    <w:p>
      <w:r>
        <w:t>Bei diesem Ausgang des Verfahrens sind keine Kosten zu erheben (Art. 63 Abs. 1 und 2 sowie Art. 65 Abs. 1 VwVG).</w:t>
      </w:r>
    </w:p>
    <w:p>
      <w:r>
        <w:rPr>
          <w:b/>
        </w:rPr>
        <w:t>E. 5.2</w:t>
      </w:r>
    </w:p>
    <w:p>
      <w:r>
        <w:t>Nachdem der Beschwerdeführer mit seinem Begehren um Aufhebung der angefochtenen Verfügung durchgedrungen ist, ist ihm eine Parteientschädigung für die ihm notwendigerweise erwachsenen Kosten zuzusprechen (Art. 64 Abs. 1 VwVG; Art. 7 ff. des Reglements über die Kosten und Entschädigungen vor dem Bundesverwaltungsgericht vom 21. Februar 2008 [VGKE, SR 173.320.2]). Die Rechtsvertreterin hat mit der Beschwerde eine Kostennote in der Höhe von 797.- (inkl. Auslagen) eingereicht. Der darin vermerkte Aufwand für die Dossiereröffnung von Fr. 50.- wird praxisgemäss nicht entschädigt (vgl. Urteil des BVGer D-3465/2011 vom 3. September 2013 E. 10.2). Somit erscheint eine Parteientschädigung von Fr. 747.- (inkl. Auslagen) als angemessen; diese ist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