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E-4838/2013 vom 6. September 2013</w:t>
      </w:r>
    </w:p>
    <w:p>
      <w:r>
        <w:t>Bundesverwaltungsgericht, 2013-09-06, DE</w:t>
      </w:r>
    </w:p>
    <w:p>
      <w:r>
        <w:rPr>
          <w:b/>
        </w:rPr>
        <w:t xml:space="preserve">Quelle: </w:t>
      </w:r>
      <w:r>
        <w:t>https://mcp.opencaselaw.ch/entscheid/bvger_E-4838_2013</w:t>
      </w:r>
    </w:p>
    <w:p>
      <w:r>
        <w:t>FR: TAF E-4838/2013 du 6 septembre 2013</w:t>
      </w:r>
    </w:p>
    <w:p>
      <w:r>
        <w:t>IT: TAF E-4838/2013 del 6 settembre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2</w:t>
      </w:r>
    </w:p>
    <w:p>
      <w:r>
        <w:t>Am 28. September 2012 änderte die Bundesversammlung gestützt auf Art. 165 Abs. 1 der Bundesverfassung der Schweizerischen Eidgenossenschaft vom 18. April 1999 (BV, SR 101) das AsylG durch den Erlass eines dringlichen Bundesgesetzes. Diese Änderungen traten am 29. September 2012 in Kraft (vgl. AS 2012 5359, BBl 2012 8261) und betreffen unter anderem die Beschwerdefristen gemäss Art. 108 Abs. 2 AsylG. War bisher lediglich für Beschwerden gegen Nichteintretensentscheide und Entscheide am Flughafen nach Art. 23 Abs. 1 AsylG eine Beschwerdefrist von fünf Arbeitstagen vorgesehen, so gilt diese Frist nach neuem Recht auch für Verfügungen des BFM nach Art. 40 in Verbindung mit Art. 6a Abs. 2 Bst. a AsylG. Dabei handelt es sich - im Gegensatz zu formellen Nichteintretensentscheiden nach Art. 34 Abs. 1 AsylG in Verbindung mit Art. 6a Abs. 2 Bst. a AsylG - um materielle negative Entscheide betreffend Asylsuchende aus verfolgungssicheren Staaten (sog. safe countries). Solche Entscheide werden ohne weitere Abklärungen erlassen, weil aufgrund der Anhörung offenkundig geworden ist, dass die Asylsuchenden ihre Flüchtlingseigenschaft weder beweisen noch glaubhaft machen können und ihrer Wegweisung keine Gründe entgegenstehen. Art. 40 AsylG betrifft den Fall, dass nach der Anhörung keine weiteren Abklärungen zur Beurteilung der Flüchtlingseigenschaft und der Wegweisung sowie deren Vollzugs vonnöten sind. Hingegen steht die Bestimmung einer detaillierten Auseinandersetzung mit den Vorbringen von Asylsuchenden nicht entgegen; vielmehr ist eine solche aufgrund der Begründungspflicht des BFM und mit Blick auf das Recht auf wirksame Beschwerde geboten, wenngleich Art. 40 Abs. 2 AsylG eine summarische Begründung genügen lässt. Vorliegend hat die Vorinstanz Art. 108 Abs. 2 AsylG in der seit dem 29. Sep­tember 2012 geltenden Fassung auf den vorliegenden Fall zu Recht angewendet. Da der Beschwerdeführerin eine Beschwerdeerhebung innert der (verkürzten neuen) Frist möglich war, stand die Frist gemäss Art. 108 Abs. 2 AsylG einer sachgerechten Anfechtung nicht entgegen. Jedoch ist die Vorinstanz in diesem Zusammenhang anzuhalten, in der Begründung ihrer Verfügung zur Vorbeugung von Missverständnissen und aus Gründen der Rechtssicherheit und Transparenz inskünftig einen Hinweis auf die verkürzte Rechtsmittelfrist gemäss Art. 108 Abs. 2 AsylG in Verbindung mit Art. 40 und auf Art. 6a Abs. 2 Bst. a AsylG aufzunehmen. 3.1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Begründung seines ablehnenden Entscheids aus, die Beschwerdeführerin erkläre, dem Ruf Jesu Christi gefolgt und auf dessen Wunsch hin in die Schweiz gereist zu sein, auf dass sie hier für schweizerische Regierung und die Menschen dieses Landes bete. Es sei Gottes Plan, dass sie hier sei. Dieses Vorbringen stelle keine asylrechtlich relevante Gefährdung dar.</w:t>
      </w:r>
    </w:p>
    <w:p>
      <w:r>
        <w:rPr>
          <w:b/>
        </w:rPr>
        <w:t>E. 4.2</w:t>
      </w:r>
    </w:p>
    <w:p>
      <w:r>
        <w:t>Demgegenüber brachte die Beschwerdeführerin in ihrer Rechtsmitteleingabe vor, die Ausübung der Religion sei ein wichtiger Flüchtlingsgrund. Aufgrund ihrer Religionszugehörigkeit und ihrer Ausrichtung sei sie mit dem Tod bedroht worden. Da sie einen anderen Glauben ausübe als die Mehrheit, sei ihr Leben erschwert. Zudem sei sie in den Medien sehr kritisch betrachtet worden, was ihr Leben noch zusätzlich erschwere. Darüber hinaus verfüge ihr Haus, worin sie mit ihrem Sohn gelebt habe, weder über Strom noch über Wasser, obwohl seit Jahren mehrere Gesuche bei der Regierung hängig seien.</w:t>
      </w:r>
    </w:p>
    <w:p>
      <w:r>
        <w:rPr>
          <w:b/>
        </w:rPr>
        <w:t>E. 4.3</w:t>
      </w:r>
    </w:p>
    <w:p>
      <w:r>
        <w:t>Mit der Vorinstanz gelangt auch das Bundesverwaltungsgericht zum Schluss, dass die Vorbringen der Beschwerdeführerin den Anforderungen an die Asylrelevanz nicht zu genügen vermögen. Obwohl Angehörige religiöser Minderheiten häufig benachteiligt werden, kann nicht davon ausgegangen werden, die Beschwerdeführerin begründe aufgrund ihrer Zugehörigkeit zu einer bestimmten Glaubensgemeinschaft und aufgrund der Ausübung ihres Glaubens die Kriterien der ernsthaften Nachteile oder der begründeten Furcht gemäss Art. 3 AsylG. Solche Nachteile sind nämlich erst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Diese Voraussetzungen sind vorliegend allein mit den geltend gemachten Drohungen seitens der orthodoxen Kirche, welche offenbar ohne weitergehende Folgen geblieben sind, offensichtlich nicht gegeben. An dieser Einschätzung vermögen die Ausführungen in ihrer Rechtsmitteleingabe, worin die Beschwerdeführerin im Wesentlichen ihre Vorbringen wiederholt und nochmals betont, sie sei wegen ihrer Religionszugehörigkeit respektive ihrer religiösen Ausrichtung mit dem Tod bedroht worden, nichts zu ändern. In Bezug auf ihre Ausführungen zu ihrer wirtschaftlichen Lage ist schliesslich festzuhalten, dass soziale und wirtschaftliche Schwierigkeiten, von welchen die ansässige Bevölkerung betroffen ist, asylrechtlich nicht von Belang sind. Die von der Beschwerdeführerin mit der Rechtsmitteleingabe eingereichten Schreiben ihrer in der Schweiz lebenden Tochter und Schwester und von Dr. med. dent. J. Fimian, dem Zahnarzt der Tochter, welche darin im Wesentlichen bekräftigen, die Beschwerdeführerin werde von der in der Schweiz lebenden Verwandtschaft finanzielle Unterstützung erfahren, vermögen in asylrechtlicher Hinsicht offensichtlich nichts zu ändern. Der Antrag auf Wiederholung der Befragung der Vorinstanz wird im Übrigen abgewiesen, zumal er nicht näher begründet wird und auch aus den Akten keine Gründe für ein solches Vorgehen ersichtlich sind. Insbesondere hat die Beschwerdeführerin anlässlich der Befragung vom 30. Juli 2013 und der Anhörung vom 12. August 2013 angegeben, ihre Aussagen seien vollständig, entsprächen der Wahrheit und seien in ihre Muttersprache rückübersetzt worden, was sie unterschriftlich bestätigte. Die bei der einlässlichen Anhörung mitwirkende Hilfswerksvertreterin hat zudem ausdrücklich darauf verzichtet, irgendwelche Einwendungen zu den Akten zu geben (vgl. Anhang zu diesem Befragungsprotokoll). Die Vorinstanz hat nach dem Gesagten das Asylgesuch der Beschwerdeführerin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Beschwerdeführerin verfügt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6.1</w:t>
      </w:r>
    </w:p>
    <w:p>
      <w:r>
        <w:t>Ist der Vollzug der Wegweisung nicht möglich, nicht zulässig oder nicht zumutbar,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6.2.1 Der Vollzug ist nicht zulässig, wenn völkerrechtliche Verpflichtungen der Schweiz einer Weiterreise des Ausländers in seinen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6.2.2 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Bosnien-Herzegowina ist demnach unter dem Aspekt von Art. 5 AsylG rechtmässig. Sodann ergeben sich weder aus den Aussagen der Beschwerdefüh­rerin noch aus den Akten Anhaltspunkte dafür, dass sie für den Fall einer Ausschaffung nach Bosnien-Herzegowina dort mit beachtlicher Wahrscheinlichkeit einer nach Art. 3 EMRK oder Art. 1 FoK verbotenen Strafe oder Behandlung ausgesetzt wäre. Gemäss Praxis des Europäischen Gerichtshofes für Menschenrechte (EGMR) sowie jener des UN-Anti-Folterausschusses müssten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was sie indes nicht tut. Auch die allgemeine Menschenrechtssituation in Bosnien-Herzegowina lässt den Wegweisungsvollzug zum heutigen Zeitpunkt klarerweise nicht als unzulässig erscheinen. Schliesslich sind den Akten auch keine Hinweise zu entnehmen, die einer Zulässigkeit des Wegweisungsvollzugs entgegenstehen. Nach dem Gesagten ist der Vollzug der Wegweisung sowohl im Sinne der asyl- als auch der völkerrechtlichen Bestimmungen zulässig.</w:t>
      </w:r>
    </w:p>
    <w:p>
      <w:r>
        <w:rPr>
          <w:b/>
        </w:rPr>
        <w:t>E. 6.3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6.3.1</w:t>
      </w:r>
    </w:p>
    <w:p>
      <w:r>
        <w:t>Schliesslich obliegt es der Beschwerdeführerin, sich bei der zuständigen Vertretung ihres Heimatstaates die für eine Rückkehr notwendigen Reisedokumente zu beschaffen (Art. 8 Abs. 4 AsylG), weshalb der Vollzug der Wegweisung auch möglich ist (Art. 83 Abs. 2 AuG).</w:t>
      </w:r>
    </w:p>
    <w:p>
      <w:r>
        <w:rPr>
          <w:b/>
        </w:rPr>
        <w:t>E. 6.3.2</w:t>
      </w:r>
    </w:p>
    <w:p>
      <w:r>
        <w:t>Nach dem Gesagten erweist sich der Vollzug der Wegweisung als zumutbar.</w:t>
      </w:r>
    </w:p>
    <w:p>
      <w:r>
        <w:rPr>
          <w:b/>
        </w:rPr>
        <w:t>E. 6.4</w:t>
      </w:r>
    </w:p>
    <w:p>
      <w:r>
        <w:t>Zusammenfassend hat das BFM den Vollzug der Wegweisung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8</w:t>
      </w:r>
    </w:p>
    <w:p>
      <w:r>
        <w:t>Eine Partei, die nicht über die erforderlichen Mittel verfügt, wird auf Antrag hin von der Bezahlung der Verfahrenskosten befreit, sofern ihr Begehren nicht aussichtslos erscheint (Art. 65 Abs. 1 VwVG). Zudem ist der bedürftigen Partei in einem nicht aussichtslosen Verfahren ein Anwalt zu bestellen ist, wenn sie nicht imstande ist, ihre Sache selber zu vertreten (Art. 65 Abs. 2 VwVG). Vorliegend ist die Beschwerde aufgrund der Erwägungen als aussichtslos zu qualifizieren und zudem erscheint das Beschwerdeverfahren weder in tatsächlicher noch in rechtlicher Hinsicht besonders komplex, weshalb das Gesuch um Gewährung der unentgeltlichen Rechtspflege im Sinne von Art. 65 Abs. 1 und 2 VwVG abzuweisen ist.</w:t>
      </w:r>
    </w:p>
    <w:p>
      <w:r>
        <w:rPr>
          <w:b/>
        </w:rPr>
        <w:t>E. 9</w:t>
      </w:r>
    </w:p>
    <w:p>
      <w:r>
        <w:t>Die Kosten sind somit der Beschwerdeführerin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