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E-4833/2020 vom 27. August 2020</w:t>
      </w:r>
    </w:p>
    <w:p>
      <w:r>
        <w:t>Bundesverwaltungsgericht, 2020-08-27, DE</w:t>
      </w:r>
    </w:p>
    <w:p>
      <w:r>
        <w:rPr>
          <w:b/>
        </w:rPr>
        <w:t xml:space="preserve">Quelle: </w:t>
      </w:r>
      <w:r>
        <w:t>https://mcp.opencaselaw.ch/entscheid/bvger_E-4833_2020_d20200827</w:t>
      </w:r>
    </w:p>
    <w:p>
      <w:r>
        <w:t>FR: TAF E-4833/2020 du 27 août 2020</w:t>
      </w:r>
    </w:p>
    <w:p>
      <w:r>
        <w:t>IT: TAF E-4833/2020 del 27 agosto 2020</w:t>
      </w:r>
    </w:p>
    <w:p>
      <w:pPr>
        <w:pStyle w:val="Heading2"/>
      </w:pPr>
      <w:r>
        <w:t>Regeste</w:t>
      </w:r>
    </w:p>
    <w:p>
      <w:r>
        <w:t>Asyl (ohne Wegweisungsvollzug) | Asyl und Wegweisung (ohne Wegweisungsvollzug); Verfügung des SEM vom 27. August 2020</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t>E-4833/2020 Seite 6</w:t>
      </w:r>
    </w:p>
    <w:p>
      <w:r>
        <w:rPr>
          <w:b/>
        </w:rPr>
        <w:t>E. 1.2</w:t>
      </w:r>
    </w:p>
    <w:p>
      <w:r>
        <w:t>Am 1. März 2019 ist die Teilrevision des AsylG vom 26. Juni 1998 (AS 2016 3101) in Kraft getreten. Für das vorliegende Verfahren gilt das zu diesen Zeitpunkt gültige Recht (vgl. Abs. 1 der Übergangsbestimmungen zur Änderung des AsylG vom 25. September 2015).</w:t>
      </w:r>
    </w:p>
    <w:p>
      <w:r>
        <w:rPr>
          <w:b/>
        </w:rPr>
        <w:t>E. 1.3</w:t>
      </w:r>
    </w:p>
    <w:p>
      <w:r>
        <w:t>Die Beschwerdeführerin ist als Verfügungsadressatin zur Beschwerde- führung legitimiert (Art. 48 VwVG). Auf die frist- und formgerecht einge- reichte Beschwerde (aArt. 108 Abs. 2 AsylG und Art. 52 Abs. 1 VwVG) ist einzutreten.</w:t>
      </w:r>
    </w:p>
    <w:p>
      <w:r>
        <w:rPr>
          <w:b/>
        </w:rPr>
        <w:t>E. 2</w:t>
      </w:r>
    </w:p>
    <w:p>
      <w:r>
        <w:t>Die Kognition des Bundesverwaltungsgerichts und die zulässigen Rügen richten sich im Asylbereich nach Art. 106 Abs. 1 AsylG.</w:t>
      </w:r>
    </w:p>
    <w:p>
      <w:r>
        <w:rPr>
          <w:b/>
        </w:rPr>
        <w:t>E. 3.1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2012/5 E. 2.2).</w:t>
      </w:r>
    </w:p>
    <w:p>
      <w:r>
        <w:rPr>
          <w:b/>
        </w:rPr>
        <w:t>E. 4.1</w:t>
      </w:r>
    </w:p>
    <w:p>
      <w:r>
        <w:t>Die Vorinstanz gelangt in der angefochtenen Verfügung zum Schluss, die Vorbringen der Beschwerdeführerin hielten weder den Anforderungen</w:t>
      </w:r>
    </w:p>
    <w:p>
      <w:r>
        <w:t>E-4833/2020 Seite 7 an das Glaubhaftmachen gemäss Art. 7 AsylG noch denjenigen an die Flüchtlingseigenschaft nach Art. 3 AsylG stand. Die Beschwerdeführerin habe sich betreffend den Zeitpunkt der ersten Dro- hung durch die Taliban unvereinbar geäussert. In der BzP, welche am 28. September 2017 stattgefunden habe, habe sie angegeben, seit einem Jahr Probleme mit den Taliban zu haben. Anlässlich der ersten Anhörung habe sie hingegen ausgeführt, sie sei am (…) erstmals bedroht worden. Mit den widersprüchlichen Angaben konfrontiert, habe sie angegeben, sich nicht daran erinnern zu können. Ebenso habe sie sich zu ihren Aufenthalts- orten vor der Ausreise unvereinbar geäussert. Den kurzen Aufenthalt in K._______ habe sie anlässlich der ersten Anhörung nicht erwähnt. Zur Dauer ihres Aufenthaltes in J._______ habe sie keine genauen Angaben machen können. Sie habe lediglich ausgeführt, es habe sich um eine relativ kurze Zeit gehandelt. Ferner habe sie nicht angeben können, wie viel Zeit zwischen den Drohungen der Taliban vergangen sei. Sodann habe sie die Bedrohungen durch die Verwandten erst anlässlich der zweiten Anhörung vorgebracht, weshalb dieses Vorbringen als nachgeschoben zu erachten sei. Zudem habe sie nicht angeben können, in welchem Land sie sich auf- gehalten habe, als sie von der letzten Drohung durch die Verwandten er- fahren habe. Ihre Vorbringen seien widersprüchlich ausgefallen, weshalb nicht von persönlich Erlebtem auszugehen sei. Aus den Akten ergebe sich zwar, dass sie an einer Posttraumatischen Belastungsstörung (PTBS) leide, was dazu führen könne, dass sich eine Person nicht mehr an Ereig- nisse erinnern könne, insbesondere falls diese traumatisierend gewesen seien. Den Anhörungsprotokollen seien aber keine Hinweise zu entneh- men, dass die Beschwerdeführerin Schwierigkeiten gehabt habe, Ereig- nisse in einen zeitlichen Kontext einzuordnen. Aus einem Schreiben der Organisation G._______ gehe hervor, dass die Beschwerdeführerin ihre Tätigkeit Anfang (…) 201(…) beendet und Mitte (…) 201(…) sowie im August 2015 an Ausbildungsveranstaltungen teilge- nommen habe. Vor dem Hintergrund der geltend gemachten Bedrohung durch die Taliban und der damit verbundenen Aufgabe ihrer Tätigkeit für die G._______ sei nicht nachvollziehbar, weshalb sie weiterhin an Ausbil- dungsveranstaltungen teilnehme. Dies lasse sich nur schwer mit der ge- schilderten Verfolgung vereinbaren, zumal sie gemäss eigenen Angaben ständig den Wohnort habe wechseln müssen. Ferner habe sie angegeben, ihr Ehemann, die Töchter und ein Sohn hielten sich weiter in E._______ auf. Aus Angst vor einer Festnahme sei ein Sohn in K._______ und der andere in J._______. Eine Person in ihrer Lage hätte sicherlich versucht,</w:t>
      </w:r>
    </w:p>
    <w:p>
      <w:r>
        <w:t>E-4833/2020 Seite 8 sicherzustellen, dass kein Familienmitglied verhaftet werde, weshalb das geltend gemachte Vorgehen nicht nachvollziehbar sei. Als weiteren Ausreisegrund habe die Beschwerdeführerin die Ermordung von drei Frauen der Organisation (…) und deren Fahrer vorgebracht. Ge- stützt auf Berichte in den Medien habe sich diese Tat aber im Jahr 200(…) ereignet. Ferner seien ihre Angaben zur illegalen Ausreise nicht nachvoll- ziehbar. So habe sie den Entschluss, das Land zu verlassen, am Tag ihrer Ausreise getroffen. Es sei jedoch anzunehmen, dass die Flucht ins Aus- land, insbesondere bei einer unbegleiteten Frau, einer gewissen Vorberei- tung bedürfe. Ebenso wenig nachvollziehbar sei, weshalb sie sich nicht nach dem Stand des Asylverfahrens bei der N._______ Botschaft erkun- digt habe.</w:t>
      </w:r>
    </w:p>
    <w:p>
      <w:r>
        <w:rPr>
          <w:b/>
        </w:rPr>
        <w:t>E. 4.2</w:t>
      </w:r>
    </w:p>
    <w:p>
      <w:r>
        <w:t>In der Rechtsmitteleingabe rügt die Beschwerdeführerin, die Vorinstanz habe den Massstab des Glaubhaftmachens nicht richtig angewendet und sie zu Unrecht nicht als Flüchtling anerkannt. Damit verletze die Vorinstanz Bundesrecht. Es sei zwar richtig, dass sie zum Beginn der Drohungen durch die Taliban unterschiedliche zeitliche Angaben gemacht habe. Ge- mäss einem Bericht des (…) leide sie aber an einer (…) in Form einer (…), weshalb sie nicht in der Lage sei, Ereignisse in einen zeitlichen Kontext einzuordnen. Es sei eine (…), eine (…) und eine (…) diagnostiziert worden. Ferner habe die zur Durchführung eines korrekten Verfahrens anwesende Hilfswerksvertretung in ihren Bemerkungen zu den Anhörungen festgehal- ten, die Beschwerdeführerin habe oft geweint und wirke psychisch sehr stark belastet. Es dürfe ihr demnach nicht vorgeworfen werden, dass sie sich als schwer traumatisierte Person anlässlich der Anhörungen nicht de- tailliert an Zeitangaben und kurzfristige Aufenthaltsorte habe erinnern kön- nen. Die Vorinstanz stelle zu hohe Anforderungen an die Aussagequalität einer psychisch nachweislich stark belasteten Person. Sodann habe sie ihre Vorbringen mittels Beweismitteln belegt. Die Vorinstanz bezweifele denn auch nicht, dass sie für verschiedene ausländische Hilfsorganisatio- nen gearbeitet habe. Anlässlich der zweiten Anhörung habe sie anschau- lich dargelegt, wie sich die Sicherheitslage stetig verschlechtert habe und die Taliban immer näher gerückt seien. Aufgrund ihres Profils als Frauen- rechtsaktivistin im Dienst einer westlichen NGO sei ihre Furcht vor Verfol- gung nachvollziehbar und auch objektiv begründet. Dies umso mehr, als in der Vergangenheit wiederholt Mitarbeitende von NGOs gewaltsam ums Le- ben gekommen seien und die Taliban als Täter verdächtigt würden. Der afghanische Staat sei weder schutzfähig noch schutzwillig, weshalb ihr in Afghanistan auch keine innerstaatliche Fluchtalternative offen stehe.</w:t>
      </w:r>
    </w:p>
    <w:p>
      <w:r>
        <w:t>E-4833/2020 Seite 9</w:t>
      </w:r>
    </w:p>
    <w:p>
      <w:r>
        <w:rPr>
          <w:b/>
        </w:rPr>
        <w:t>E. 4.3</w:t>
      </w:r>
    </w:p>
    <w:p>
      <w:r>
        <w:t>In der Vernehmlassung führt die Vorinstanz aus, Erinnerungslücken, welche zentrale Asylvorbringen beträfen, vermögen deren Glaubhaftigkeit als solche nicht zu belegen. Sodann könnten Emotionen Ursachen haben, die nicht mit den Asylvorbringen in Zusammenhang stünden. Die Be- schwerdeführerin habe wesentliche Asylvorbringen erst später im Verfah- ren geltend gemacht und selbst bei der zweiten Anhörung teilweise genaue Angaben machen können. Dies spreche gegen eine Abnahme des Erinne- rungsvermögens im Verlaufe des Verfahrens.</w:t>
      </w:r>
    </w:p>
    <w:p>
      <w:r>
        <w:rPr>
          <w:b/>
        </w:rPr>
        <w:t>E. 5.1</w:t>
      </w:r>
    </w:p>
    <w:p>
      <w:r>
        <w:t>Mit der Vorinstanz ist zunächst festzustellen, dass keine Zweifel an der Tätigkeit der Beschwerdeführerin bei der G._______, einer (…) (…) Hilfs- organisation, bestehen. Sie hat ihren beruflichen Werdegang während den Anhörungen detailliert geschildert sowie auf Nachfragen präzis und aus- führlich geantwortet. Ihre Tätigkeit ist zudem durch zahlreiche Ausweise, Diplome, Arbeitsbestätigungen und Fotoaufnahmen belegt.</w:t>
      </w:r>
    </w:p>
    <w:p>
      <w:r>
        <w:rPr>
          <w:b/>
        </w:rPr>
        <w:t>E. 5.2</w:t>
      </w:r>
    </w:p>
    <w:p>
      <w:r>
        <w:t>Der Argumentation der Vorinstanz, es sei unglaubhaft, dass die Be- schwerdeführerin aufgrund ihrer Tätigkeit von den Taliban bedroht worden sei, kann nicht gefolgt werden. Bei den von der Vorinstanz aufgeführten Widersprüchen in zeitlicher und örtlicher Hinsicht handelt es sich nicht um gravierende Unvereinbarkeiten. Einerseits sind die abweichenden Anga- ben zum Zeitpunkt des Erhalts der ersten Drohung lediglich auf unter- schiedliche Aussagen anlässlich der BzP und den Anhörungen zurückzu- führen. Andererseits gab die Beschwerdeführerin auf Fragen zu Daten mehrmals an, sie könne sich nicht daran erinnern (vgl. SEM-Akten A15/25 F137, F144, A19/15 F16, F60 und A30/16 F52, F102 ff.). In diesem Zusam- menhang wird in der Beschwerde zu Recht darauf hingewiesen, dass die Beschwerdeführerin gemäss einem Bericht des (…) an einer (…) in Form einer (…) leidet, weshalb sie nicht in der Lage ist, Ereignisse in einem zeit- lichen Kontext einzuordnen und einen Bezug zu Jahrenzahlen herzustel- len. Zudem leidet die Beschwerdeführerin gemäss ärztlicher Diagnose an (…) (vgl. SEM-Akten A31/4). Festzuhalten ist, dass sie die Umstände der gegen sie gerichteten Drohungen durch die Taliban weitestgehend plausi- bel wiederzugeben vermochte. Insbesondere die Umstände der ersten Drohung schilderte sie detailliert und ausführlich (vgl. SEM-Akten A15/25 F132). Insgesamt sind die Aussagen der Beschwerdeführerin zu den Dro- hungen durch die Taliban substantiiert und authentisch ausgefallen. Ihre Tätigkeit für ausländische Hilfsorganisationen ist zudem durch zahlreiche Dokumente belegt. Demnach sind die fluchtauslösenden Ereignisse, auch</w:t>
      </w:r>
    </w:p>
    <w:p>
      <w:r>
        <w:t>E-4833/2020 Seite 10 aufgrund der eingereichten Beweismittel, insgesamt als glaubhaft im Sinne von Art. 7 AsylG zu erachten.</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 gefügt worden sind beziehungsweise zugefügt zu werden drohen (vgl. BVGE 2008/4 E. 5.2 S. 37). Begründete Furcht vor Verfolgung im Sinne von Art. 3 Abs. 1 AsylG liegt vor, wenn ein konkreter Anlass zur An- 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 rie ist somit die flüchtlingsrechtliche Relevanz einer nichtstaatlichen Verfol- gung vom Vorhandensein eines adäquaten Schutzes durch den Heimat- staat abhängig. Dieser Schutz ist als hinreichend zu qualifizieren, wenn die betroffene Person effektiven Zugang zu einer funktionierenden und effi- zienten Schutzinfrastruktur hat und ihr die Inanspruchnahme eines solchen innerstaatlichen Schutzsystems individuell zumutbar ist (vgl. BVGE 2011/51 E. 7.3).</w:t>
      </w:r>
    </w:p>
    <w:p>
      <w:r>
        <w:rPr>
          <w:b/>
        </w:rPr>
        <w:t>E. 5.4</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wel- che der afghanischen Regierung oder der internationalen Gemeinschaft in- klusive den internationalen Militärkräften nahestehen oder als Unterstützer derselben wahrgenommen werden sowie westlich orientierte oder der af- ghanischen Gesellschaft aus anderen Gründen nicht entsprechende Per- sonen (Referenzurteil des BVGer D-5800/2016 vom 13. Oktober 2017 so- wie statt vieler Urteil des BVGer D-6178/2020 vom 15. November 2022 E. 9.2). Zwar kann die aktuelle Lage in Afghanistan nicht abschliessend beurteilt werden, sie hat sich jedoch nach der Machtergreifung der Taliban</w:t>
      </w:r>
    </w:p>
    <w:p>
      <w:r>
        <w:t>E-4833/2020 Seite 11 im August 2021 zweifellos noch akzentuiert, weshalb diese Rechtspre- chung weiterhin Gültigkeit hat (vgl. Urteile des BVGer E-5120/2021 vom 21. Juli 2022 E. 6.3.2, D-2161/2021 vom 12. Januar 2022 E. 7.3 und E-4649/2021 vom 15. November 2021 E. 7.4.2; vgl. ferner European Union Agency for Asylum [EUAA], Country Guidance : Afghanistan [Janu- ary 2023] S. 45 ff., European Union Agency for Asylum [europa.eu] und Update der Schweizerischen Flüchtlingshilfe [SFH] -Länderanalyse vom 31. Oktober 2021, Afghanistan: Gefährdungsprofile, S. 16 ff., &lt;https://www.fluechtlingshilfe.ch/fileadmin/user_upload/Publikatio- nen/Herkunftslaenderberichte/Mittlerer_Osten_-_Zentralasien/Afghanis- tan/211031_AFG_Update_Gefaehrdungsprofile.pdf&gt;, beide abgerufen am 15. Februar 2023).</w:t>
      </w:r>
    </w:p>
    <w:p>
      <w:r>
        <w:rPr>
          <w:b/>
        </w:rPr>
        <w:t>E. 5.5</w:t>
      </w:r>
    </w:p>
    <w:p>
      <w:r>
        <w:t>Die Beschwerdeführerin ist ehemalige Mitarbeiterin der G._______, ei- ner (…) NGO, welche während (…) Jahren zahlreiche Soforthilfe- und Wie- deraufbauprojekte in Afghanistan durchführte. Die Projekte umfassten ins- besondere das (…), die (…), den (…), die Unterstützung von (…) und die Gründung von (…) ([…], abgerufen am 17. Januar 2023). In ihrer Funktion für die G._______ war die Beschwerdeführerin unter anderem an verschie- denen Projekten zur Förderung von Frauen beteiligt und arbeitete mit Frauen zusammen. Aufgrund dieser Tätigkeit ist sie in den Fokus der Tali- ban geraten und hat Drohungen erhalten. Die Beschwerdeführerin weist demnach ein Risikoprofil auf, welches sich anhand der glaubhaft gemach- ten Drohungen der Taliban gegen sie auch auf individueller Ebene konkre- tisiert und insgesamt zu einer objektiv begründeten Furcht vor Verfolgung im Sinne von Art. 3 AsylG führt.</w:t>
      </w:r>
    </w:p>
    <w:p>
      <w:r>
        <w:rPr>
          <w:b/>
        </w:rPr>
        <w:t>E. 5.6</w:t>
      </w:r>
    </w:p>
    <w:p>
      <w:r>
        <w:t>Es bestehen sodann keine Hinweise darauf, dass sich dies zum heuti- gen Zeitpunkt geändert hat. Die Situation in Afghanistan wurde im Refe- renzurteil E-5800/2016 vom 13. Oktober 2017 als Bürgerkrieg charakteri- siert, wobei unter anderem auf den in den vergangenen Jahren gewachse- nen Einfluss der Taliban hingewiesen wurde (vgl. a.a.O. E. 7.3 f.). Dieser Einfluss hat sich – mit Blick auf den nunmehr vollzogenen vollständigen Abzug der amerikanischen und ausländischen Streitkräfte und der fakti- schen Machtübernahme durch die Taliban (vgl. Afghanistan Analysts Net- work, The Moment in Between: After the Americans, before the new re- gime, &lt;https://www.afghanistan-analysts.org/en/reports/war-and-peace- /the-moment-in-between-after-the-americans-before-the-new-regime/&gt;; abgerufen am 17. Januar 2023) – manifestiert, wobei sich das Land seither in einer Übergangsphase befindet. Es ist namentlich noch nicht absehbar,</w:t>
      </w:r>
    </w:p>
    <w:p>
      <w:r>
        <w:t>E-4833/2020 Seite 12 wie die Taliban die Regierungsführung gestalten und welche Haltung sie zu bestimmten Personengruppen innerhalb der afghanischen Bevölkerung einnehmen werden (vgl. British Broadcasting Corporation, Afghanistan: Life under Taliban rile one month on, &lt;https://www.bbc.com/news/world- asia-58550640&gt;; abgerufen am 17. Januar 2023). Die Situation von Frauen und Mädchen hat sich jedenfalls drastisch verschlechtert (vgl. Eu- ropean Union Agency for Asylum [EUAA], Country Guidance: Afghanistan [January 2023] S. 86 ff., European Union Agency for Asylum, [europa.eu], was das Risiko einer Verfolgung der Beschwerdeführerin zusätzlich erhöht. Vor diesem Hintergrund kann auch nicht von einer innerstaatlichen Schutz- beziehungsweise Fluchtalternative gesprochen werden. Insgesamt be- steht für die Beschwerdeführerin seit der Machtübernahme durch die Tali- ban weiterhin respektive im Sinne objektiver Nachfluchtgründe begründete Furcht bei einer Rückkehr nach Afghanistan von Seiten der Taliban in flüchtlingsrechtlich relevanter Weise verfolgt zu werden.</w:t>
      </w:r>
    </w:p>
    <w:p>
      <w:r>
        <w:rPr>
          <w:b/>
        </w:rPr>
        <w:t>E. 5.7</w:t>
      </w:r>
    </w:p>
    <w:p>
      <w:r>
        <w:t>Aus den vorangegangenen Erwägungen ergibt sich, dass die Be- schwerdeführerin die Flüchtlingseigenschaft im Sinne von Art. 3 AsylG er- füllt. Aus den Akten gehen sodann keine Anhaltspunkte für das Vorliegen von Ausschlussgründen im Sinne von Art. 53 AsylG hervor, weshalb die Vorinstanz anzuweisen ist, ihr Asyl zu gewähren (Art. 49 AsylG). Die Be- schwerde ist gutzuheissen, die angefochtene Verfügung ist aufzuheben und das SEM anzuweisen, der Beschwerdeführerin Asyl zu gewähren. Die Wegweisung und die vorläufige Aufnahme fallen somit dahin.</w:t>
      </w:r>
    </w:p>
    <w:p>
      <w:r>
        <w:rPr>
          <w:b/>
        </w:rPr>
        <w:t>E. 6.1</w:t>
      </w:r>
    </w:p>
    <w:p>
      <w:r>
        <w:t>Bei diesem Ausgang des Verfahrens – vollumfängliches Obsiegen – sind keine Kosten zu erheben (Art. 63 Abs. 1 und 2 VwVG). Damit ist die mit Zwischenverfügung vom 14. Oktober 2020 gewährte unentgeltliche Prozessführung und folglich auch die unentgeltliche Rechtsverbeiständung gegenstandslos geworden.</w:t>
      </w:r>
    </w:p>
    <w:p>
      <w:r>
        <w:rPr>
          <w:b/>
        </w:rPr>
        <w:t>E. 6.2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In der Honorarnote vom 30. September 2020 macht die Rechtsvertreterin einen Aufwand von zwölf Stunden zu einem Stundenansatz von Fr. 200.– geltend. Unter Berücksichtigung der Eingaben vom 13. Oktober 2020,</w:t>
      </w:r>
    </w:p>
    <w:p>
      <w:r>
        <w:t>E-4833/2020 Seite 13 14. Juni 2021, 20. Januar 2022, 21. März 2022, 28. September 2022, 14. Dezember 2022 und 10. Januar 2023 ist von einem Aufwand von 15 Stunden auszugehen. Die von der Vorinstanz auszurichtenden Partei- entschädigung ist demnach auf Fr. 3'000.– festzusetzen.</w:t>
      </w:r>
    </w:p>
    <w:p>
      <w:r>
        <w:t>(Dispositiv nächste Seite)</w:t>
      </w:r>
    </w:p>
    <w:p>
      <w:r>
        <w:t>E-4833/2020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