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E-4822/2014 vom 30. September 2014</w:t>
      </w:r>
    </w:p>
    <w:p>
      <w:r>
        <w:t>Bundesverwaltungsgericht, 2014-09-30, DE</w:t>
      </w:r>
    </w:p>
    <w:p>
      <w:r>
        <w:rPr>
          <w:b/>
        </w:rPr>
        <w:t xml:space="preserve">Quelle: </w:t>
      </w:r>
      <w:r>
        <w:t>https://mcp.opencaselaw.ch/entscheid/bvger_E-4822_2014</w:t>
      </w:r>
    </w:p>
    <w:p>
      <w:r>
        <w:t>FR: TAF E-4822/2014 du 30 septembre 2014</w:t>
      </w:r>
    </w:p>
    <w:p>
      <w:r>
        <w:t>IT: TAF E-4822/2014 del 30 settembre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Beschwerde- respektive Anfechtungsobjekt des Verwaltungsverfahrens ist die Verfügung (vgl. Art. 44 VwVG). Vorliegend verneinte das BFM lediglich in Briefform (Schreiben vom 31. Juli 2014, das weder ein Dispositiv noch eine Rechtsmittelbelehrung enthält) das Bestehen eines verfassungsmässigen Anspruchs auf Behandlung des Wiedererwägungsgesuchs, worin bereits eine anfechtbare Verfügung zu erblicken ist (vgl. dazu Entscheidungen und Mitteilungen der [vormaligen] Schweizerischen Asylrekurskommission [EMARK] 2003 Nr. 7 E. 2.a) aa) S. 43f.).</w:t>
      </w:r>
    </w:p>
    <w:p>
      <w:r>
        <w:rPr>
          <w:b/>
        </w:rPr>
        <w:t>E. 1.3</w:t>
      </w:r>
    </w:p>
    <w:p>
      <w:r>
        <w:t>Die Beschwerde ist im Übrigen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Gegenstand des vorliegenden Verfahrens bildet die Frage, ob das BFM das Wiedererwägungsgesuch in seiner Verfügung vom 31. Juli 2014 zu Recht nicht behandelt hat. Die Aufhebung oder Änderung der ursprünglichen Verfügung vom 3. September 2008 (Aufhebung der vorläufigen Aufnahme) ist nicht Verfahrensgegenstand.</w:t>
      </w:r>
    </w:p>
    <w:p>
      <w:r>
        <w:rPr>
          <w:b/>
        </w:rPr>
        <w:t>E. 4.1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w:t>
      </w:r>
    </w:p>
    <w:p>
      <w:r>
        <w:rPr>
          <w:b/>
        </w:rPr>
        <w:t>E. 6.2</w:t>
      </w:r>
    </w:p>
    <w:p>
      <w:r>
        <w:t>Vorliegend ist festzustellen, dass es die Vorinstanz unterlassen hat, die Vorbringen im ausführlich begründeten und mit Dokumenten untermauerten Wiedererwägungsgesuch sorgfältig und ernsthaft zu prüfen und in der Entscheidfindung zu berücksichtigen. Im Schreiben vom 17. Juni 2014, auf das in der Verfügung vom 31. Juli 2014 zur Begründung verwiesen wird, fasst das BFM die Ausführungen im Wiedererwägungsgesuch vom 6. Mai 2014 zusammen und umschreibt in abstrakter Weise die Voraussetzungen für das Eintreten auf ein Wiedererwägungsgesuch. Dabei führt es an, auf ein Wiedererwägungsgesuch sei einzutreten, wenn die gesuchstellende Person Tatsachen vorbringe, die an sich geeignet sein könnten, zu einem anderen Entscheid zu führen. Die Begründung, wonach kein Anspruch auf Behandlung des Wiedererwägungsgesuches bestehe, begnügt sich mit der Feststellung, die Verfügung vom 3. September 2008 sei unangefochten in Rechtskraft erwachsen, weshalb der angeordnete Wegweisungsvollzug vollstreckbar sei. Der Beschwerdeführer sei seiner Ausreiseverpflichtung nicht nachgekommen, und er könne allein aufgrund der Tatsache, dass er sich während seines illegalen Aufenthaltes wohlverhalten habe, nichts zu seinen Gunsten ableiten. Es setzt sich dabei in keiner Weise mit der Argumentation im Wiedererwägungsgesuch und in der Eingabe vom 10. Juli 2014, die Aufhebung der vorläufigen Aufnahme sei aufgrund der Tatsache, dass sich der Beschwerdeführer seit dem Massnahmenvollzug erfolgreich darum bemüht habe, sich wieder sozial in die Gesellschaft zu integrieren, was die eingereichten Dokumente aufzeigen würden, heute nicht mehr verhältnismässig, und die Voraussetzungen für die Anordnung der vorläufigen Aufnahme seien vor dem Hintergrund des weiterhin tobenden Bürgerkrieges in Somalia nach wie vor gegeben, auseinander. Zudem wird entgegen der diesbezüglichen Ausführung in der Verfügung vom 31. Juli 2014 auch nicht begründet, weshalb kein Anspruch auf Behandlung des Wiedererwägungsgesuchs bestehe.</w:t>
      </w:r>
    </w:p>
    <w:p>
      <w:r>
        <w:rPr>
          <w:b/>
        </w:rPr>
        <w:t>E. 6.3</w:t>
      </w:r>
    </w:p>
    <w:p>
      <w:r>
        <w:t>Damit steht fest, dass sich die Vorinstanz in der Abfassung der angefochtenen Verfügung nicht mit den Vorbringen des Beschwerdeführers und den zu deren Stützung eingereichten Beweismitteln befasst hat, womit sie ihre Begründungspflicht und seinen Anspruch auf rechtliches Gehör verletzt hat. Zudem hat sie mit dieser Gehörsverletzung auch den Sachverhalt unvollständig festgestellt. Vorliegend handelt es sich um eine schwere Verletzung des rechtlichen Gehörs, weshalb eine Heilung auf Beschwerdeebene nicht Betracht fällt.</w:t>
      </w:r>
    </w:p>
    <w:p>
      <w:r>
        <w:rPr>
          <w:b/>
        </w:rPr>
        <w:t>E. 6.4</w:t>
      </w:r>
    </w:p>
    <w:p>
      <w:r>
        <w:t>Nach dem Gesagten ist die Beschwerde im Sinne der Erwägungen gutzuheissen. Die Verfügung vom 31. Juli 2014 ist aufzuheben und die Sache zur Gewährung des rechtlichen Gehörs sowie zur vollständigen Feststellung des Sachverhaltes und anschliessenden Neubeurteilung an das BFM zurückzuweisen.</w:t>
      </w:r>
    </w:p>
    <w:p>
      <w:r>
        <w:rPr>
          <w:b/>
        </w:rPr>
        <w:t>E. 7.1</w:t>
      </w:r>
    </w:p>
    <w:p>
      <w:r>
        <w:t>Bei diesem Ausgang des Verfahrens sind keine Kosten zu erheben (Art. 63 Abs. 1 und 2 VwVG), womit die Anträge auf Verzicht auf die Erhebung eines Kostenvorschusses und auf Gewährung der unentgeltlichen Prozessführung im Sinne von Art. 65 Abs. 1 VwVG gegenstandslos werden.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Damit wird der Antrag auf Beiordnung der Rechtsvertreterin als amtliche Anwältin im Sinne von Art. 65 Abs. 2 VwVG hinfällig. Der in der Kostennote vom 27. August 2014 ausgewiesene zeitliche Vertretungsaufwand von 7,5 Stunden zu einem Stundenansatz von Fr. 250.- scheint unter Berücksichtigung der massgebenden Bemessungsfaktoren (Art. 9 - 13 VGKE) und der Entschädigungspraxis in Vergleichsfällen angemessen und notwendig im Sinne von Art. 64 Abs. 1 VwVG. Das BFM hat dem Beschwerdeführer für das Rechtsmittelverfahren somit entsprechend der Kostennote eine Parteientschädigung im Betrag von insgesamt Fr. 2075.00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