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E-4822/2009 vom 3. September 2009</w:t>
      </w:r>
    </w:p>
    <w:p>
      <w:r>
        <w:t>Bundesverwaltungsgericht, 2009-09-03, DE</w:t>
      </w:r>
    </w:p>
    <w:p>
      <w:r>
        <w:rPr>
          <w:b/>
        </w:rPr>
        <w:t xml:space="preserve">Quelle: </w:t>
      </w:r>
      <w:r>
        <w:t>https://mcp.opencaselaw.ch/entscheid/bvger_E-4822_2009</w:t>
      </w:r>
    </w:p>
    <w:p>
      <w:r>
        <w:t>FR: TAF E-4822/2009 du 3 septembre 2009</w:t>
      </w:r>
    </w:p>
    <w:p>
      <w:r>
        <w:t>IT: TAF E-4822/2009 del 3 settembre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Verfügung des BFM vom 30. Juni 2009 wird aufgehoben und die Sache wird zur vollständigen Sachverhaltsfeststellung und zur Neubeurteilung an das BFM zurückgewiesen.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Es wird keine Parteientschädigung entrichtet.</w:t>
      </w:r>
    </w:p>
    <w:p>
      <w:r>
        <w:rPr>
          <w:b/>
        </w:rPr>
        <w:t>E. 4</w:t>
      </w:r>
    </w:p>
    <w:p>
      <w:r>
        <w:t>Dieses Urteil geht an die Beschwerdeführenden, das BFM und die kantonale Behörde. Die Einzelrichterin: Der Gerichtsschreiber: Regula Schenker Senn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