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E-4820/2024 vom 28. Juni 2024</w:t>
      </w:r>
    </w:p>
    <w:p>
      <w:r>
        <w:t>Bundesverwaltungsgericht, 2024-06-28, DE</w:t>
      </w:r>
    </w:p>
    <w:p>
      <w:r>
        <w:rPr>
          <w:b/>
        </w:rPr>
        <w:t xml:space="preserve">Quelle: </w:t>
      </w:r>
      <w:r>
        <w:t>https://mcp.opencaselaw.ch/entscheid/bvger_E-4820_2024_d20240628</w:t>
      </w:r>
    </w:p>
    <w:p>
      <w:r>
        <w:t>FR: TAF E-4820/2024 du 28 juin 2024</w:t>
      </w:r>
    </w:p>
    <w:p>
      <w:r>
        <w:t>IT: TAF E-4820/2024 del 28 giugno 2024</w:t>
      </w:r>
    </w:p>
    <w:p>
      <w:pPr>
        <w:pStyle w:val="Heading2"/>
      </w:pPr>
      <w:r>
        <w:t>Regeste</w:t>
      </w:r>
    </w:p>
    <w:p>
      <w:r>
        <w:t>Verweigerung vor&amp;uuml;bergehender Schutz | Verweigerung vorübergehender Schutz; Verfügung des SEM vom 28. Juni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t>E-4820/2024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Art. 48 Abs. 1 und Art. 52 Abs. 1 VwVG).</w:t>
      </w:r>
    </w:p>
    <w:p>
      <w:r>
        <w:rPr>
          <w:b/>
        </w:rPr>
        <w:t>E. 1.4</w:t>
      </w:r>
    </w:p>
    <w:p>
      <w:r>
        <w:t>Auf die Beschwerde ist einzutreten.</w:t>
      </w:r>
    </w:p>
    <w:p>
      <w:r>
        <w:rPr>
          <w:b/>
        </w:rPr>
        <w:t>E. 1.5</w:t>
      </w:r>
    </w:p>
    <w:p>
      <w:r>
        <w:t>Die Zuweisung des Aufenthaltskantons (Dispositivziffer 4 der SEM-Ver- fügung vom 28. Juni 2024) wurde von den Beschwerdeführenden nicht an- gefochten und erwuchs mit Ablauf der Rechtsmittelfrist in Rechtkraft.</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72 i.V.m. Art. 111 Bst. e AsylG). Wie nachstehend aufgezeigt wird, handelt es sich um ein solches Rechtsmittel, weshalb das Urteil nur summarisch zu begründen ist (Art. 72 i.V.m. Art. 111a Abs. 2 AsylG).</w:t>
      </w:r>
    </w:p>
    <w:p>
      <w:r>
        <w:rPr>
          <w:b/>
        </w:rPr>
        <w:t>E. 4.1</w:t>
      </w:r>
    </w:p>
    <w:p>
      <w:r>
        <w:t>Das SEM führte zur Begründung der angefochtenen Verfügung aus, die Beschwerdeführenden gehörten nicht zu den vom Bundesrat definier- ten Gruppen der schutzberechtigten Personen, weil sie über einen Schutz- status in Polen verfügen würden. Das SEM habe ihnen am 10. April 2024 in Bezug auf eine allfällige Ablehnung ihrer Gesuche und zu einer Wegwei- sung nach Polen das rechtliche Gehör gewährt; hierzu hätten sie keine Stellung genommen, weshalb aufgrund der (bestehenden) Aktenlage ent- schieden werde. Personen, die in einem Drittstaat ausserhalb der Ukraine einen dem Schweizerischen Schutzstatus «S» gleichzusetzenden Schutztitel erhalten</w:t>
      </w:r>
    </w:p>
    <w:p>
      <w:r>
        <w:t>E-4820/2024 Seite 5 hätten, seien im betreffenden Staat bereits wirksam vor der Kriegssituation in der Ukraine geschützt und auf eine zusätzliche Schutzgewährung durch die Schweiz nicht angewiesen. An der mangelnden Schutzbedürftigkeit än- dere auch eine allfällige Beendigung des Schutzstatus respektive des Schutztitels aufgrund einer freiwilligen Ausreise aus besagtem Staat nichts. Voraussetzung für die Annahme einer Schutzalternative sei allerdings, dass der Schutztitel in dem Staat, der ihn ausgestellt habe, wiedererwor- ben werden könne. Aus den Akten gehe nicht hervor, dass die Beschwerdeführenden Polen unfreiwillig verlassen hätten. Es seien auch keine Gründe ersichtlich, wes- halb ihnen Polen gestützt auf die entsprechende Richtlinie der Europäi- schen Union nicht ein weiteres Mal vorübergehenden Schutz gewähren sollte. Da die Beschwerdeführenden der Aufforderung zur Stellungnahme im Rahmen des rechtlichen Gehörs zu einer Wegweisung nach Polen nicht nachgekommen seien, seien keine Gründe vorgetragen worden, die dage- gensprechen würden. Hinweise auf eine in Polen drohende soziale, wirt- schaftliche oder gesundheitliche Notlage seien nicht erkennbar. Die Be- schwerdeführenden seien gesund und arbeitsfähig und hätten eine Ausbil- dung als (…) und (…) beziehungsweise (…); sie hätten sich bereits längere Zeit in Polen aufgehalten und seien mit der dortigen Sprache und den Le- bensverhältnissen vertraut. Der Wegweisungsvollzug sei auch unter dem Aspekt des Kindeswohls als zumutbar zu erachten. Die Tochter C._______ könne zusammen mit den Beschwerdeführenden nach Polen ausreisen, wo sie aufgrund ihres früheren Aufenthaltes ein bereits bekanntes Umfeld vorfinden und sich aufgrund ihres Alters gut einleben werde. Sie habe auch die Möglichkeit, in Polen eine schulische Ausbildung zu absolvieren.</w:t>
      </w:r>
    </w:p>
    <w:p>
      <w:r>
        <w:rPr>
          <w:b/>
        </w:rPr>
        <w:t>E. 4.2</w:t>
      </w:r>
    </w:p>
    <w:p>
      <w:r>
        <w:t>In ihrer Beschwerdeeingabe trugen die Beschwerdeführenden Folgen- des vor: Sie hätten am 10. April 2024 um vorübergehenden Schutz in der Schweiz ersucht. Noch am gleichen Tag hätten sie das Formular «schriftliche Kurz- befragung Ukraine» ausgefüllt. Ihnen und dem Rechtsschutz BAZ Region F._______ sei ein Schreiben zum rechtlichen Gehör ausgehändigt worden. Sie hätten unverzüglich Kontakt aufgenommen mit dem Rechtsschutz BAZ Region F._______, um das Vorgehen zum rechtlichen Gehör zu bespre- chen. Da der Rechtsschutz ihnen angeboten habe, die Stellungnahme für</w:t>
      </w:r>
    </w:p>
    <w:p>
      <w:r>
        <w:t>E-4820/2024 Seite 6 sie zu verfassen, hätten sie dieser Rechtsschutzstelle Fotos von Dokumen- ten und Informationen, die für die Ausarbeitung der Stellungnahme erfor- derlich gewesen seien, zugesandt. Trotz telefonischer Zusicherung des Rechtsschutzes Region F._______, dass die Stellungnahme fristgerecht eingereicht werde, sei dies nicht erfolgt. Die fehlende Stellungnahme ba- siere auf einem Fehler einer von der Vorinstanz zur Verfügung gestellten Rechtsschutzstelle, weshalb dieser Fehler nicht ihnen zugerechnet werden könne. Das SEM habe in seiner Verfügung festgehalten, dass eine Schutzalterna- tive nur angenommen werden könne, wenn der Schutztitel im betreffenden Staat auch tatsächlich wiedererworben werden könne. Es stelle sich die Frage, wie die Rechtslage bei vorbestandenem, aber erloschenem Schutz- status in Polen zu beurteilen sei. Nach polnischem Recht erlösche der Schutzstatus, wenn sich ein ukraini- scher Staatsangehöriger, dem der Schutzstatus zuerkannt worden sei, für einen längeren Zeitraum nicht mehr auf dem Hoheitsgebiet Polens befinde. Vorliegend sei der Schutzstatus, den die Beschwerdeführenden in Polen erworben hätten, durch Zeitablauf erloschen und bestehe faktisch nicht mehr; sie würden über keine Schutzalternative verfügen. Das SEM habe sich in seiner Verfügung zwar kurz mit der Frage nach den Auswirkungen des Erlöschens des Schutzstatus aufgrund einer freiwilligen Ausreise auf die Annahme einer Schutzalternative befasst. Bei der An- nahme des SEM, das Erlöschen des Schutzstatus in Polen wegen einer Ausreise ändere nichts an der Beurteilung der Schutzalternative, handle es sich nicht um eine eindeutige Rechtslage oder um eine gefestigte Praxis. Das SEM untermauere oder substanziiere seine Annahme auch nicht mit Hinweisen auf gesetzliche Vorschriften, Allgemeinverfügungen, der Recht- sprechung oder Materialien. Gemäss polnischem Recht werde nur Perso- nen der Schutzstatus gewährt, die in Polen direkt vom Territorium der Uk- raine her eintreffen würden. Es werde auf entsprechende polnische Geset- zestexte (insbesondere: Art. 1 des Gesetzes über die Hilfe für Bürger der Ukraine im Zusammenhang mit dem bewaffneten Konflikt auf dem Territo- rium dieses Landes vom 12. März 2022; aktuelle Fassung vom 26. Juli 2024) respektive auf die entsprechenden Internet-Links verwiesen. Die Be- schwerdeführenden würden im Falle einer Rückkehr nach Polen nicht di- rekt aus der Ukraine, sondern aus einem anderen Staat einreisen und des- halb die rechtlichen Voraussetzungen für die erneute Zuerkennung eines polnischen Schutzstatus nicht erfüllen. Die Frage der Wiedererlangung</w:t>
      </w:r>
    </w:p>
    <w:p>
      <w:r>
        <w:t>E-4820/2024 Seite 7 eines Schutzstatus hätte die Vorinstanz im Rahmen der Untersuchungs- maxime abklären müssen, was vorliegend vollkommen unterlassen wor- den sei. Das SEM hätte die polnischen Behörden um eine Rückübernahme ersuchen können, wie dies standardmässig getan werde. Zudem habe sich das SEM nur kurz mit dem Kindeswohl der Tochter be- fasst, nicht aber mit dem am (…) 2024 neugeborenen Sohn. Auch hier habe das SEM seine Untersuchungspflicht verletzt. Der Sohn sei in der angefochtenen Verfügung nicht einmal erwähnt worden. Wenn die Be- schwerdeführenden gezwungen würden, nach Polen zurückzukehren, wür- den sie dort ohne Schutzstatus und ohne staatliche Unterstützung leben müssen. Sie würden in eine persönliche Notlage geraten und das Kindes- wohl beider Kinder würde gefährdet.</w:t>
      </w:r>
    </w:p>
    <w:p>
      <w:r>
        <w:rPr>
          <w:b/>
        </w:rPr>
        <w:t>E. 5.1</w:t>
      </w:r>
    </w:p>
    <w:p>
      <w:r>
        <w:t>Gemäss Art. 4 AsylG kann die Schweiz Schutzbedürftigen für die Dauer einer schweren allgemeinen Gefährdung, insbesondere während eines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w:t>
      </w:r>
    </w:p>
    <w:p>
      <w:r>
        <w:t>E-4820/2024 Seite 8 verfügen und nicht in Sicherheit und dauerhaft in ihre Heimatländer zu- rückkehren können.</w:t>
      </w:r>
    </w:p>
    <w:p>
      <w:r>
        <w:rPr>
          <w:b/>
        </w:rPr>
        <w:t>E. 5.3</w:t>
      </w:r>
    </w:p>
    <w:p>
      <w:r>
        <w:t>Die Beschwerdeführenden haben unbestrittenermassen während der Dauer ihres Aufenthaltes in Polen und im Zeitpunkt der Einreichung ihrer Gesuche um vorübergehenden Schutz in der Schweiz über eine polnische PESEL-Nummer verfügt.</w:t>
      </w:r>
    </w:p>
    <w:p>
      <w:r>
        <w:rPr>
          <w:b/>
        </w:rPr>
        <w:t>E. 5.3.1</w:t>
      </w:r>
    </w:p>
    <w:p>
      <w:r>
        <w:t>Eine PESEL-Nummer erhalten speziell (neben polnischen und EU- Staatsangehörigen) auch ukrainische Staatsangehörige und deren ukraini- sche Familienangehörige sowie deren nichtukrainische Ehegatten, welche nach dem 24. Februar 2022 über die ukrainische Grenze nach Polen ein- gereist sind. Eine PESEL-Nummer ermöglicht (neben einem Aufenthalt in Polen) insbesondere die Nutzung finanzieller Hilfe sowie medizinischer Dienstleistungen und berechtigt zur Arbeitstätigkeit (vgl. https://visitukra- ine.today/de/blog/202/ukrainians-in-poland-how-to-get-a-pesel-number ; https://www.deutsches-polen-institut.de/blogpodcast/blog/rechte-der-ukra- inerinnen-und-ukrainer-in-polen/ ; beide zuletzt abgerufen am 26.08.2024; vgl. hierzu auch: Urteil des BVGer E-3310/2024 vom 7. Juni 2024 E. 7.3.2 mit Verweis auf: D-6195/2023 vom 1. März 2024 E. 6.1).</w:t>
      </w:r>
    </w:p>
    <w:p>
      <w:r>
        <w:rPr>
          <w:b/>
        </w:rPr>
        <w:t>E. 5.3.2</w:t>
      </w:r>
    </w:p>
    <w:p>
      <w:r>
        <w:t>Gemäss der bereits zitierten Quelle des Deutschen Polen-Instituts vom 25. März 2022 sollen die für ukrainische Staatsbürger in Polen be- schlossenen Massnahmen für ukrainische Staatsbürger (und mit ihnen ver- heiratete Personen) gelten, die seit dem 24. Februar 2022 legal und direkt aus dem ukrainischen Hoheitsgebiet nach Polen eingereist sind. Diese Be- stimmung soll zwar noch geändert werden und auch diejenigen ukraini- schen Staatsbürger betreffen, die nicht direkt aus der Ukraine angereist sind. Zu welchem Zeitpunkt diese Änderung eintreten soll, geht aus dem Dokument vom 25. März 2022 aber nicht hervor.</w:t>
      </w:r>
    </w:p>
    <w:p>
      <w:r>
        <w:rPr>
          <w:b/>
        </w:rPr>
        <w:t>E. 5.4</w:t>
      </w:r>
    </w:p>
    <w:p>
      <w:r>
        <w:t>Hinzu kommt, dass in Polen Gesetzesanpassungen und -änderungen per 1. Juli 2024 in Kraft getreten sind (vgl. zum Ganzen: https://ukraina.in- terwencjaprawna.pl/latest-and-most-significant-amendments-to-the-spe- cial-purpose-act-of-ukraine-7-06-2024/; https://visitukraine.today/de/blog/- 1344/why-pesel-ukr-was-canceled-on-what-grounds-can-a-ukrainian-be- deprived-of-protection-in-poland-and-what-to-do#possible-grounds-for-lo- sing-pesel-ukr-status sowie https://visitukraine.today/blog/3767/pesel-ukr- 2024-changes-to-be-introduced-by-the-polish-government-to-strengthen- refugee-control, alle abgerufen am 26.08.2024).</w:t>
      </w:r>
    </w:p>
    <w:p>
      <w:r>
        <w:t>E-4820/2024 Seite 9 Das SEM hat sich in seiner Verfügung vom 28. Juni 2024, welche unmit- telbar vor dem 1. Juli 2024 erlassen worden ist, nicht mit den allfälligen Auswirkungen dieser Gesetzesänderungen auf das Verfahren der Be- schwerdeführenden auseinandergesetzt.</w:t>
      </w:r>
    </w:p>
    <w:p>
      <w:r>
        <w:rPr>
          <w:b/>
        </w:rPr>
        <w:t>E. 5.5</w:t>
      </w:r>
    </w:p>
    <w:p>
      <w:r>
        <w:t>Bei dieser Ausgangslage kommt das Gericht zu folgendem Schluss:</w:t>
      </w:r>
    </w:p>
    <w:p>
      <w:r>
        <w:rPr>
          <w:b/>
        </w:rPr>
        <w:t>E. 5.5.1</w:t>
      </w:r>
    </w:p>
    <w:p>
      <w:r>
        <w:t>Aus den vorliegenden Akten ergibt sich nicht mit hinreichender Klar- heit, dass die Beschwerdeführenden in Polen Schutz vor einer Rückwei- sung in ihren Heimatstaat vor Beendigung des Krieges erlangen respektive wiedererlangen können.</w:t>
      </w:r>
    </w:p>
    <w:p>
      <w:r>
        <w:rPr>
          <w:b/>
        </w:rPr>
        <w:t>E. 5.5.2</w:t>
      </w:r>
    </w:p>
    <w:p>
      <w:r>
        <w:t>Den Akten lassen sich auch keine konkreten Informationen zur Mög- lichkeit der Beschwerdeführenden zur Wiedererlangung eines Schutzsta- tus in Polen entnehmen. Ob die polnischen Behörden bereit sind, den Beschwerdeführenden wieder eine valable Schutzalternative zur Schweiz zu gewähren (zur Subsidiarität des Schutzes, vgl. BVGE 2022 VI/1 E. 6.3), steht im Urteilszeitpunkt nicht fest. Diese Frage wird das SEM zu klären haben, gegebenenfalls nach Rücksprache mit seinen polnischen Partnerbehörden.</w:t>
      </w:r>
    </w:p>
    <w:p>
      <w:r>
        <w:rPr>
          <w:b/>
        </w:rPr>
        <w:t>E. 5.5.3</w:t>
      </w:r>
    </w:p>
    <w:p>
      <w:r>
        <w:t>Hinzu kommt, dass das SEM in seinem Entscheid vom 28. Juni 2024 den Umstand, dass die Beschwerdeführerin am (…) 2024 den Sohn D._______ geboren hat, nicht gewürdigt hat. Der neugeborene Sohn wird zwar im Rubrum namentlich festgehalten und als vom Entscheid betreffend seine Eltern und Schwester vom 28. Juni 2024 mitbetroffen explizit aufge- führt (vgl. Seite 7 unten). Die angefochtene Verfügung enthält aber keine Ausführungen zur Tatsache, dass der Sohn im Zeitpunkt des SEM-Ent- scheides knapp (…) Wochen alt und somit – wie die Kindesmutter (…) Wo- chen nach der Geburt – im Hinblick auf eine Wegweisung nach Polen be- sonders vulnerabel war. Zum übergeordneten Kindesinteresse des Sohnes hat sich das SEM nicht geäussert, sondern lediglich betreffend die Tochter C._______ den Aspekt des Kindeswohls geprüft (vgl. Ziffer III/2 S. 5).</w:t>
      </w:r>
    </w:p>
    <w:p>
      <w:r>
        <w:rPr>
          <w:b/>
        </w:rPr>
        <w:t>E. 5.6</w:t>
      </w:r>
    </w:p>
    <w:p>
      <w:r>
        <w:t>Zusammenfassend ist festzuhalten, dass das SEM den rechtserhebli- chen Sachverhalt unvollständig festgestellt hat. Durch ihre ungenügenden Abklärungen hat die Vorinstanz den Untersuchungsgrundsatz verletzt. Eine Heilung dieses Verfahrensmangels auf Beschwerdeebene steht nicht zur Debatte. Auf die Durchführung eines Schriftenwechsels ist unter diesen Umständen aus prozessökonomischen Überlegungen zu verzichten (Art. 72 i.V.m. Art. 111a Abs. 1 AsylG).</w:t>
      </w:r>
    </w:p>
    <w:p>
      <w:r>
        <w:t>E-4820/2024 Seite 10</w:t>
      </w:r>
    </w:p>
    <w:p>
      <w:r>
        <w:rPr>
          <w:b/>
        </w:rPr>
        <w:t>E. 5.7</w:t>
      </w:r>
    </w:p>
    <w:p>
      <w:r>
        <w:t>Die Beschwerde ist gutzuheissen, soweit damit (eventualiter) die Kas- sation der angefochtenen Verfügung und die Rückweisung der Sache an die Vorinstanz beantragt worden ist.</w:t>
      </w:r>
    </w:p>
    <w:p>
      <w:r>
        <w:rPr>
          <w:b/>
        </w:rPr>
        <w:t>E. 5.8</w:t>
      </w:r>
    </w:p>
    <w:p>
      <w:r>
        <w:t>Auf die übrigen Ausführungen in der Beschwerdeeingabe, insbeson- dere zur Gewährung des rechtlichen Gehörs vor Fällung des vorinstanzli- chen Entscheides, braucht bei diesem Verfahrensausgang nicht eingegan- gen zu werden.</w:t>
      </w:r>
    </w:p>
    <w:p>
      <w:r>
        <w:rPr>
          <w:b/>
        </w:rPr>
        <w:t>E. 6.1</w:t>
      </w:r>
    </w:p>
    <w:p>
      <w:r>
        <w:t>Bei diesem Ausgang des Verfahrens sind keine Verfahrenskosten zu erheben (Art. 63 Abs. 1 und 2 VwVG). Das Gesuch um Gewährung der unentgeltlichen Prozessführung inklusive amtliche Verbeiständung wird damit gegenstandslos.</w:t>
      </w:r>
    </w:p>
    <w:p>
      <w:r>
        <w:rPr>
          <w:b/>
        </w:rPr>
        <w:t>E. 6.2</w:t>
      </w:r>
    </w:p>
    <w:p>
      <w:r>
        <w:t>Den Beschwerdeführenden ist angesichts ihres Obsiegens zulasten der Vorinstanz eine Entschädigung für die ihnen erwachsenen notwendi- gen Kosten gemäss Art. 64 Abs. 1 VwVG zuzusprechen. In der eingereichten Kostennote wird ein Arbeitsaufwand von 6 Stunden, ausmachend Fr. 1’ 320.– sowie Aufwendungen für Porto, Fotokopien und Telefonspesen von insgesamt Fr. 40.–. Dieser Aufwand erscheint ange- messen. Die den Beschwerdeführenden zulasten der Vorinstanz auszu- richtende Parteientschädigung ist unter Berücksichtigung der massgeben- den Faktoren auf insgesamt Fr. 1’360.– (inkl. Auslagen) festzusetzen (vgl. Art. 14 Abs. 2 und Art. 7 ff. und des Reglements vom 21. Februar 2008 über die Kosten und Entschädigungen vor dem Bundesverwaltungsgericht [VGKE, SR 173.320.2]).</w:t>
      </w:r>
    </w:p>
    <w:p>
      <w:r>
        <w:t>(Dispositiv nächste Seite)</w:t>
      </w:r>
    </w:p>
    <w:p>
      <w:r>
        <w:t>E-4820/2024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