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E-481/2011 vom 31. Januar 2011</w:t>
      </w:r>
    </w:p>
    <w:p>
      <w:r>
        <w:t>Bundesverwaltungsgericht, 2011-01-31, FR</w:t>
      </w:r>
    </w:p>
    <w:p>
      <w:r>
        <w:rPr>
          <w:b/>
        </w:rPr>
        <w:t xml:space="preserve">Quelle: </w:t>
      </w:r>
      <w:r>
        <w:t>https://mcp.opencaselaw.ch/entscheid/bvger_E-481_2011</w:t>
      </w:r>
    </w:p>
    <w:p>
      <w:r>
        <w:t>FR: TAF E-481/2011 du 31 janvier 2011</w:t>
      </w:r>
    </w:p>
    <w:p>
      <w:r>
        <w:t>IT: TAF E-481/2011 del 31 gennaio 2011</w:t>
      </w:r>
    </w:p>
    <w:p>
      <w:pPr>
        <w:pStyle w:val="Heading2"/>
      </w:pPr>
      <w:r>
        <w:t>Regeste</w:t>
      </w:r>
    </w:p>
    <w:p>
      <w:r>
        <w:t>Asile (non-entrée en matière / absence de documents)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Gaye Alioune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 Cela étant, les conclusions du recourant tendant à la reconnaissance de sa qualité de réfugié et à l'octroi de l'asile outrepassent manifestement le cadre du litige et sont dès lors irrecevables.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90ss) et de la jurisprudence (cf. ATAF 2009/50 consid. 5-8 p. 725-733).</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avancé de motif excusable à même de justifier son incapacité à produire de tels documents, au sens de l'art. 32 al. 3 let. a LAsi. Ses explications à ce sujet dans son recours ne sont pas de nature à remettre en cause la décision attaquée sur ce point. De fait, le montant que le recourant dit avoir payé à ses passeurs pour son voyage en bateau jusqu'en Europe puis en camion jusqu'en Suisse amène le Tribunal à douter de la crédibilité des circonstances de sa venue en Suisse. Eu égard aux tarifs pratiqués par les passeurs et au coût d'un voyage tel que celui entrepris par le recourant, Le Tribunal estime en effet hautement improbable que 450'000 CFA (Francs de la Communauté Financière d'Afrique), soit l'équivalent d'environ Fr. 880.- eussent suffi à financer une traversée de près de dix jours et à défrayer deux voire trois passeurs. En outre, compte tenu de la rigueur des contrôles aux frontières de l'espace Schengen, notamment dans les ports français, le Tribunal juge peu probable que le recourant, monté sur un bateau en provenance d'Afrique, ait pu débarquer au F._______ et quitter le port aussi facilement qu'il le prétend.</w:t>
      </w:r>
    </w:p>
    <w:p>
      <w:r>
        <w:rPr>
          <w:b/>
        </w:rPr>
        <w:t>E. 3.2</w:t>
      </w:r>
    </w:p>
    <w:p>
      <w:r>
        <w:t>Le Tribunal considère aussi qu'en l'espèce la qualité de réfugié au sens de l'art. 32 al. 3 let. b LAsi n'est pas établie et qu'aucune mesure d'instruction n'est nécessaire pour établir cette qualité (cf. ATAF 2007/8 consid. 5.6.5-5.7 p. 90ss) ou pour constater l'existence d'un empêchement à l'exécution du renvoi au sens de l'art. 32 al. 3 let. c LAsi (cf. ATAF 2009/50 précité). Tout d'abord, vu sa méconnaissance de la Mauritanie, il y a lieu d'exclure, à l'instar de l'ODM, que le recourant soit ressortissant de ce pays. De fait, il n'y a pas en Mauritanie de ville du nom de Medendra comme l'a écrit le recourant lors de son audition fédérale ; on en trouve par contre une nommée Mederdra. En outre, jusqu'en 1999, le système scolaire mauritanien comptait bien une filière bilingue où les cours étaient dispensés en français, mais aussi en wolof, soninké ou pulaar ; ces cours incluaient toutefois l'enseignement de l'arabe. Dès lors, s'il avait véritablement vécu en Mauritanie, il n'est pas pensable que le recourant, qui affirme avoir été en classe de neuf ans à quinze ans, ne sût pas un mot d'arabe et il est encore moins imaginable, vu l'impact des concepts sociétaux que ces termes recouvrent dans la société mauritanienne, qu'il pût ignorer la signification des mots "bidan" et "sudan". Dans ces conditions, à l'instar de l'ODM encore, on doit admettre que le recourant est probablement sénégalais et qu'il n'a pas vécu les événements qui l'ont poussé à quitter la Mauritanie. Pour le reste, il appert de ses propos qu'à E._______, l'intéressé a majoritairement fréquenté le milieu homosexuel ; ses colocataires, notamment, auraient été homosexuels comme lui. Avec eux, il dit ainsi avoir régulièrement organisé des fêtes dans leur appartement où se retrouvaient d'autres personnes. Les moeurs des participants à ces fêtes devaient être connues à la ronde puisque ces moeurs auraient entraîné le saccage de l'appartement du recourant et de ses colocataires par des inconnus le premier dimanche d'octobre 2010. Le recourant ne se cachait pas non plus spécialement ; vers juin 2010, quand, en compagnie d'un ami, il avait été agressé par un groupe de jeunes dans le quartier de G._______, il aurait même bénéficié du soutien d'habitants de l'endroit. Surtout, il ne prétend pas que durant son séjour à E._______, de février 2005 au 26 novembre 2010, les autorités lui auraient fait une fois des difficultés à cause de son orientation sexuelle. Au contraire, selon ses dires, ces autorités ont même rappelé l'un de ses colocataires pour obtenir davantage d'informations sur les auteurs du saccage d'octobre 2010 (cf. pv de l'audition du 16 décembre 2010, Q. 70). On peut donc en conclure que ces autorités étaient bien disposées à protéger le recourant et ses colocataires en dépit de leur orientation sexuelle. Certes, comme dans bien d'autres pays d'Afrique, l'homosexualité reste un tabou au Sénégal ; toutefois, ce pays est aussi considéré comme l'un des plus progressistes du continent sur la question de l'homosexualité. Cela dit, le Tribunal n'entend pas relativiser les conséquences de sa criminalisation dans cet Etat. Dans le présent cas, il doit cependant constater que, même à admettre l'homosexualité du recourant, il n'existe pas en l'état d'indices concrets de persécutions, au sens de l'art. 3 LAsi, liées à son orientation sexuelle. 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en l'absence de violences généralisées au Sénégal, vraisemblablement le pays d'origine du recourant, et eu égard à la situation personnelle de ce dernier qui est un jeune homme qui n'a pas allégué de problème de santé particulier, qui a déjà travaillé et dont rien ne laisse penser qu'il ne le pourrait plus.</w:t>
      </w:r>
    </w:p>
    <w:p>
      <w:r>
        <w:rPr>
          <w:b/>
        </w:rPr>
        <w:t>E. 4.4</w:t>
      </w:r>
    </w:p>
    <w:p>
      <w:r>
        <w:t>L'exécution du renvoi est enfin possible (cr. art. 83 al. 2 LEtr) et le recourant est tenus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requête d'assistance judiciaire partielle est rejetée, les conclusions du recours étant d'emblée vouées à l'échec (cf. art. 65 al. 1 PA).</w:t>
      </w:r>
    </w:p>
    <w:p>
      <w:r>
        <w:rPr>
          <w:b/>
        </w:rPr>
        <w:t>E. 5.3</w:t>
      </w:r>
    </w:p>
    <w:p>
      <w:r>
        <w:t>La demande d'exemption d'une avance de frais de procédure est sans objet.</w:t>
      </w:r>
    </w:p>
    <w:p>
      <w:r>
        <w:rPr>
          <w:b/>
        </w:rPr>
        <w:t>E. 5.4</w:t>
      </w:r>
    </w:p>
    <w:p>
      <w:r>
        <w:t>Vu l'issue de la cause, il y a lieu de mettre les frais (600 francs)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