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E-4817/2023 vom 23. Februar 2024</w:t>
      </w:r>
    </w:p>
    <w:p>
      <w:r>
        <w:t>Bundesverwaltungsgericht, 2024-02-23, FR</w:t>
      </w:r>
    </w:p>
    <w:p>
      <w:r>
        <w:rPr>
          <w:b/>
        </w:rPr>
        <w:t xml:space="preserve">Quelle: </w:t>
      </w:r>
      <w:r>
        <w:t>https://mcp.opencaselaw.ch/entscheid/bvger_E-4817_2023</w:t>
      </w:r>
    </w:p>
    <w:p>
      <w:r>
        <w:t>FR: TAF E-4817/2023 du 23 février 2024</w:t>
      </w:r>
    </w:p>
    <w:p>
      <w:r>
        <w:t>IT: TAF E-4817/2023 del 23 febbraio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w:t>
      </w:r>
    </w:p>
    <w:p>
      <w:r>
        <w:t>E-4817/2023 Page 5 manière déterminante sur des moyens de preuve faux ou falsifiés (art. 7 LAsi).</w:t>
      </w:r>
    </w:p>
    <w:p>
      <w:r>
        <w:rPr>
          <w:b/>
        </w:rPr>
        <w:t>E. 3.1</w:t>
      </w:r>
    </w:p>
    <w:p>
      <w:r>
        <w:t>En l'occurrence, l’intéressé n’a pas été en mesure de faire apparaître la pertinence de ses motifs.</w:t>
      </w:r>
    </w:p>
    <w:p>
      <w:r>
        <w:rPr>
          <w:b/>
        </w:rPr>
        <w:t>E. 3.2</w:t>
      </w:r>
    </w:p>
    <w:p>
      <w:r>
        <w:t>En effet, les problèmes rencontrés avec son entourage scolaire, puis professionnel – insultes, menaces, agressions occasionnelles – ne constituent pas des traitements à ce point graves qu’ils puissent être qualifiés de persécution ; de fait, les ennuis rencontrés par le recourant ne différaient pas substantiellement de ceux que doit couramment affronter la population kurde de Turquie, exposées à diverses discriminations du fait de l’Etat ou de la population de souche turque. Ces problèmes n'atteignent en général pas l'intensité requise par l'art. 3 LAsi, comme c’est le cas ici ; en conséquence, le Tribunal n'a pas retenu l’existence d’une persécution collective contre les Kurdes en Turquie (cf. arrêt du Tribunal E-3888/2023 du 16 août 2023 consid. 4.1.4 et réf. cit.)</w:t>
      </w:r>
    </w:p>
    <w:p>
      <w:r>
        <w:rPr>
          <w:b/>
        </w:rPr>
        <w:t>E. 3.3</w:t>
      </w:r>
    </w:p>
    <w:p>
      <w:r>
        <w:t>Par ailleurs, l’intéressé allègue avoir été proche du HDP et avoir œuvré durant quelques mois pour ce parti. Il n’en aurait cependant jamais été membre et se serait limité à apporter une aide occasionnelle, qui plus est pendant une courte période (cf. procès-verbal [p-v] de l’audition du 31 mai 2023, questions 92 à 94) ; rien n’indique que les autorités aient eu connaissance de cet engagement, ni que le recourant ait été personnellement visé par la police pour ce motif.</w:t>
      </w:r>
    </w:p>
    <w:p>
      <w:r>
        <w:rPr>
          <w:b/>
        </w:rPr>
        <w:t>E. 3.4</w:t>
      </w:r>
    </w:p>
    <w:p>
      <w:r>
        <w:t>L’intéressé affirme enfin faire l’objet d’une procédure pénale pour insultes au président, infraction réprimée par l’art. 299 du code pénal turc. Il n’en a cependant déposé aucune preuve, contrairement à ce qu’il annonçait dans son recours, dont le dépôt remonte à plus de cinq mois ; l’existence de cette procédure ne ressort en l’état que des seuls dires de son avocate, qui n’aurait cependant pu lui fournir aucun détail à ce sujet. En outre, comme l’a relevé le SEM, même si une hypothétique procédure contre le recourant était menée à chef, cela ne l’exposerait pas à première vue à des risques assez graves pour être qualifiés de persécution ; en effet, il est sans antécédents judiciaires, ne se serait que très faiblement engagé pour le HDP et n’aurait pas de profil politique affirmé, admettant en outre n’avoir jamais eu de relation avec le parti des travailleurs du Kurdistan (PKK ; cf. p-v de l’audition du 31 mai 2023, question 152). Conformément</w:t>
      </w:r>
    </w:p>
    <w:p>
      <w:r>
        <w:t>E-4817/2023 Page 6 à la pratique de la justice turque relative aux infractions passibles de deux ans d’emprisonnement ou moins, il est dès lors vraisemblable que son activité sur les réseaux sociaux, qui n’aurait d’ailleurs duré que quelques semaines, ne l’exposerait qu’à une sanction de faible ampleur, à savoir une peine de détention assortie du sursis ou exécutable en milieu ouvert (cf. notamment arrêts du Tribunal D-691/2023 du 28 avril 2023 consid. 6.1 ; E-1255/2021 du 25 avril 2023 consid. 5.2.4 ; E-87/2023 du 29 mars 2023 consid. 6.1 et 6.2). Il apparaît du reste que le contenu de la clé USB déposée, à savoir une quinzaine de courts messages postés en mars et avril 2023, la plupart accompagnés de photographies montrant le président, le ministre de l’Intérieur, des combattants du PKK ou des victimes du tremblement de terre, ne permet pas de conclure à l’existence d’un engagement politique particulièrement intense de l’intéressé. En pratique, seules 10 % environ des procédures ouvertes sur la base de l’art. 299 du code pénal donnent lieu à un jugement (cf. notamment arrêts du Tribunal D-5525/2022 du 22 janvier 2024 consid. 5.4 et 5.5 ; E-3568/2023 du 19 septembre 2023 consid. 7.2.4) ; en l’absence d’un profil politique marqué de l’inculpé, le risque d’une condamnation à une peine de détention est faible (cf. notamment arrêts du Tribunal E-2549/2021 du 5 septembre 2023 consid. 6.2 et 6.4.2.4 ; E-3593/2021 du</w:t>
      </w:r>
    </w:p>
    <w:p>
      <w:r>
        <w:rPr>
          <w:b/>
        </w:rPr>
        <w:t>E. 3.5</w:t>
      </w:r>
    </w:p>
    <w:p>
      <w:r>
        <w:t>Il s'ensuit que le recours doit être rejeté, en tant qu'il conteste le refus de reconnaître la qualité de réfugié et le refus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E-4817/2023 Page 7 5. 5.1 L'exécution du renvoi est ordonnée si elle est licite, raisonnablement exigible et possible. Si l’une de ces conditions fait défaut, l'admission provisoire doit être prononcée. Celle-ci est réglée par l'art. 83 LEI (RS 142.20). 5.2 5.2.1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 5.2.2 L'exécution du renvoi ne contrevient pas au principe de non-refoulement de l'art. 5 LAsi. Comme exposé précédemment, le recourant n'a pas rendu vraisemblable qu'en cas de retour dans son pays d'origine, il serait exposé à de sérieux préjudices au sens de l'art. 3 LAsi. 5.2.3 Par ailleurs, pour les motifs examinés,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 5.3 5.3.1 L'exécution du renvoi ne peut pas être raisonnablement exigée si le renvoi ou l'expulsion de l'étranger dans son pays d'origine ou de provenance le met concrètement en danger, par exemple en cas de guerre,</w:t>
      </w:r>
    </w:p>
    <w:p>
      <w:r>
        <w:t>E-4817/2023 Page 8 de guerre civile, de violence généralisée ou de nécessité médicale (art. 83 al. 4 LEI ; cf. ATAF 2014/26 consid. 7.3 à 7.10 ; 2011/50 consid. 8.1 à 8.3 et jurisp. cit.). 5.3.2 Malgré la résurgence, depuis le mois de juillet 2015, du conflit turco- 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 du Tribunal E-1383/2021 du 16 avril 2021 consid. 7.3 ; arrêt de référence du Tribunal E-1948/2018 du 12 juin 2018 consid. 7.3.1 et 7.3.2). Le recourant provient de la province d’Adiyaman, affectée par le tremblement de terre de février 2023. Toutefois, il ne ressort du dossier aucun élément dont on pourrait inférer que l'exécution du renvoi le mettrait en danger de manière concrète : il est jeune, en bonne santé, sans charge de famille et a déjà été professionnellement actif depuis 2021 ; en outre, ses parents résideraient toujours dans leur maison, bien que celle-ci ait subi des dégâts (cf. p-v de l’audition du 31 mai 2023, questions 19 à 21), son frère et sa sœur se trouveraient à E._______, dans la même région, et un autre frère dans la province de Sanli Urfa (cf. idem, questions 47 et 48). Si l’intéressé devait considérer que le retour dans sa province d’origine s’avérerait problématique, il apparaît réalisable, au regard de sa situation personnelle, qu’il se réinstalle dans une autre région de la Turquie ; il a en effet déjà vécu et travaillé dans d’autres régions et pourrait bénéficier, si nécessaire, de l’assistance des membres de sa famille. 5.3.3 Pour ces motifs, l'exécution du renvoi doit être considérée comme raisonnablement exigible. 5.4 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w:t>
      </w:r>
    </w:p>
    <w:p>
      <w:r>
        <w:t>E-4817/2023 Page 9 documents de voyage lui permettant de quitter la Suisse. L'exécution du renvoi ne se heurte ainsi pas à des obstacles insurmontables d'ordre technique et s'avère également possible (cf. ATAF 2008/34 consid. 12). 6.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7. 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5.2.2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5.2.3</w:t>
      </w:r>
    </w:p>
    <w:p>
      <w:r>
        <w:t>Par ailleurs, pour les motifs examinés,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 du Tribunal E-1383/2021 du 16 avril 2021 consid. 7.3 ; arrêt de référence du Tribunal E-1948/2018 du 12 juin 2018 consid. 7.3.1 et 7.3.2). Le recourant provient de la province d'Adiyaman, affectée par le tremblement de terre de février 2023. Toutefois, il ne ressort du dossier aucun élément dont on pourrait inférer que l'exécution du renvoi le mettrait en danger de manière concrète : il est jeune, en bonne santé, sans charge de famille et a déjà été professionnellement actif depuis 2021 ; en outre, ses parents résideraient toujours dans leur maison, bien que celle-ci ait subi des dégâts (cf. p-v de l'audition du 31 mai 2023, questions 19 à 21), son frère et sa soeur se trouveraient à E._______, dans la même région, et un autre frère dans la province de Sanli Urfa (cf. idem, questions 47 et 48). Si l'intéressé devait considérer que le retour dans sa province d'origine s'avérerait problématique, il apparaît réalisable, au regard de sa situation personnelle, qu'il se réinstalle dans une autre région de la Turquie ; il a en effet déjà vécu et travaillé dans d'autres régions et pourrait bénéficier, si nécessaire, de l'assistance des membres de sa famille.</w:t>
      </w:r>
    </w:p>
    <w:p>
      <w:r>
        <w:rPr>
          <w:b/>
        </w:rPr>
        <w:t>E. 5.3.3</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6</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partielle doit être rejetée (art.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E-4817/2023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