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E-4817/2015 vom 12. Januar 2016</w:t>
      </w:r>
    </w:p>
    <w:p>
      <w:r>
        <w:t>Bundesverwaltungsgericht, 2016-01-12, DE</w:t>
      </w:r>
    </w:p>
    <w:p>
      <w:r>
        <w:rPr>
          <w:b/>
        </w:rPr>
        <w:t xml:space="preserve">Quelle: </w:t>
      </w:r>
      <w:r>
        <w:t>https://mcp.opencaselaw.ch/entscheid/bvger_E-4817_2015</w:t>
      </w:r>
    </w:p>
    <w:p>
      <w:r>
        <w:t>FR: TAF E-4817/2015 du 12 janvier 2016</w:t>
      </w:r>
    </w:p>
    <w:p>
      <w:r>
        <w:t>IT: TAF E-4817/2015 del 12 gennaio 2016</w:t>
      </w:r>
    </w:p>
    <w:p>
      <w:pPr>
        <w:pStyle w:val="Heading2"/>
      </w:pPr>
      <w:r>
        <w:t>Regeste</w:t>
      </w:r>
    </w:p>
    <w:p>
      <w:r>
        <w:t>Asyl (ohne Wegweisung)</w:t>
      </w:r>
    </w:p>
    <w:p>
      <w:pPr>
        <w:pStyle w:val="Heading2"/>
      </w:pPr>
      <w:r>
        <w:t>Erwägungen</w:t>
      </w:r>
    </w:p>
    <w:p>
      <w:r>
        <w:rPr>
          <w:b/>
        </w:rPr>
        <w:t>E. 5</w:t>
      </w:r>
    </w:p>
    <w:p>
      <w:r>
        <w:t>Gemäss Art. 44 AsylG verfügt das Bundesamt in der Regel die Wegweisung aus der Schweiz und ordnet den Vollzug an, wenn es das Asylgesuch ablehnt oder darauf nicht eintritt. Die Beschwerdeführer verfügen weder über eine ausländerrechtliche Aufenthaltsbewilligung noch über einen Anspruch auf Erteilung einer solchen (BVGE 2011/24 E. 10.1 m.w.H.). Die Wegweisung ist nicht zu beanstanden.</w:t>
      </w:r>
    </w:p>
    <w:p>
      <w:r>
        <w:rPr>
          <w:b/>
        </w:rPr>
        <w:t>E. 6</w:t>
      </w:r>
    </w:p>
    <w:p>
      <w:r>
        <w:t>Mit der angefochtenen Verfügung wurden die Beschwerdeführer zufolge Unzumutbarkeit des Wegweisungsvollzugs vorläufig in der Schweiz aufgenommen. Die Anordnung der vorläufigen Aufnahme, welche nicht selbständig, sondern nur insofern adhäsionsweise Gegenstand des Beschwerdeverfahrens gewesen ist, als eine Gutheissung im Asyl- oder im Wegweisungspunktes deren Aufhebung zur Folge gehabt hätte, tritt mit dem heutigen Urteilsdatum in Kraft.</w:t>
      </w:r>
    </w:p>
    <w:p>
      <w:r>
        <w:rPr>
          <w:b/>
        </w:rPr>
        <w:t>E. 7</w:t>
      </w:r>
    </w:p>
    <w:p>
      <w:r>
        <w:t>Aus diesen Erwägungen ergibt sich, dass die angefochtene Verfügung Bundesrecht nicht verletzt und auch sonst nicht zu beanstanden ist (Art. 106 Abs. 1 AsylG). Die Beschwerde ist abzuweisen, soweit darauf einzutreten ist. Das Gesuch um Befreiung von einem Kostenvorschuss ist mit dem Urteil gegenstandslos geworden.</w:t>
      </w:r>
    </w:p>
    <w:p>
      <w:r>
        <w:rPr>
          <w:b/>
        </w:rPr>
        <w:t>E. 8</w:t>
      </w:r>
    </w:p>
    <w:p>
      <w:r>
        <w:t>Die gestellten Begehren erweisen sich als aussichtslos, weshalb das Gesuch um Gewährung der unentgeltlichen Rechtspflege (unentgeltliche Prozessführung, amtliche Verbeiständung) abzuweisen ist.</w:t>
      </w:r>
    </w:p>
    <w:p>
      <w:r>
        <w:rPr>
          <w:b/>
        </w:rPr>
        <w:t>E. 9</w:t>
      </w:r>
    </w:p>
    <w:p>
      <w:r>
        <w:t>Bei diesem Ausgang des Verfahrens sind die Kosten von Fr. 600.- (Art. 1-3 des Reglements vom 21. Februar 2008 über die Kosten und Entschädigungen vor dem Bundesverwaltungsgericht [VGKE, SR 173.320.2]) den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