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E-4813/2012 vom 25. September 2012</w:t>
      </w:r>
    </w:p>
    <w:p>
      <w:r>
        <w:t>Bundesverwaltungsgericht, 2012-09-25, DE</w:t>
      </w:r>
    </w:p>
    <w:p>
      <w:r>
        <w:rPr>
          <w:b/>
        </w:rPr>
        <w:t xml:space="preserve">Quelle: </w:t>
      </w:r>
      <w:r>
        <w:t>https://mcp.opencaselaw.ch/entscheid/bvger_E-4813_2012</w:t>
      </w:r>
    </w:p>
    <w:p>
      <w:r>
        <w:t>FR: TAF E-4813/2012 du 25 septembre 2012</w:t>
      </w:r>
    </w:p>
    <w:p>
      <w:r>
        <w:t>IT: TAF E-4813/2012 del 25 settembre 2012</w:t>
      </w:r>
    </w:p>
    <w:p>
      <w:pPr>
        <w:pStyle w:val="Heading2"/>
      </w:pPr>
      <w:r>
        <w:t>Regeste</w:t>
      </w:r>
    </w:p>
    <w:p>
      <w:r>
        <w:t>Nichteintreten auf Asylgesuch (Asylverfahren Schweiz nach Asylverfahren EU/EWR)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insoweit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32 - 35 AslyG ergingen, nicht auf die Frage beschränkt, ob die Vorinstanz auf das Asylgesuch zu Recht nicht eingetreten ist. Vielmehr bildet auch die Flüchtlingseigenschaft Streitgegenstand. Im Rahmen einer summarischen Prüfung ist das offenkundige Fehlen der Flüchtlingseigenschaft des Beschwerdeführers und von Wegweisungsvollzugshindernissen zu beurteilen (vgl. BVGE 2007/8 E. 2.1 und 5.6.5). Bezüglich der Wegweisung und des Wegweisungsvollzuges ist die Beurteilungskompetenz nicht beschränkt, da dies die Vorinstanz materiell geprüft hat (vgl. BVGE 2007/8 E. 2.1).</w:t>
      </w:r>
    </w:p>
    <w:p>
      <w:r>
        <w:rPr>
          <w:b/>
        </w:rPr>
        <w:t>E. 2.3</w:t>
      </w:r>
    </w:p>
    <w:p>
      <w:r>
        <w:t>Das Begehren der Beschwerdeführenden, es sei ihnen Asyl zu gewähren, geht über den zulässigen Streitgegenstand hinaus. Auf die Beschwerde ist insoweit nicht einzutreten.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Auf Asylgesuche wird nicht eingetreten, wenn Asylsuchende in einem Staat der Europäischen Union (EU) oder des Europäischen Wirtschaftsraums (EWR) einen ablehnenden Asylentscheid erhalten haben, ausser die Anhörung ergebe Hinweise, dass in der Zwischenzeit Ereignisse eingetreten sind, die geeignet sind, die Flüchtlingseigenschaft zu begründen, oder die für die Gewährung vorübergehenden Schutzes relevant sind (Art. 32 Abs. 2 Bst. f AsylG).</w:t>
      </w:r>
    </w:p>
    <w:p>
      <w:r>
        <w:rPr>
          <w:b/>
        </w:rPr>
        <w:t>E. 3.2</w:t>
      </w:r>
    </w:p>
    <w:p>
      <w:r>
        <w:t>Die Vorinstanz gelangt in der angefochtenen Verfügung zum Schluss, es würden keine Hinweise vorliegen, dass seit der Ablehnung des Asylgesuchs der Beschwerdeführenden in Deutschland Ereignisse eingetreten seien, die geeignet seien, die Flüchtlingseigenschaft zu begründen. Bei der geltend gemachten Entführung und Misshandlung handle es sich um Übergriffe privater Dritter. Es würden keine Anhaltspunkte vorliegen, dass diese Tat im Auftrag des serbischen Staats erfolgt sei. Weiter gebe es keine Hinweise dafür, dass Serbien dies toleriere oder fördere. Aus den Akten gehe hervor, dass die Effektivität des staatlichen Schutzes und die Rechtsstaatlichkeit in Serbien gegeben seien. Die serbische Polizei habe die Anzeige des Beschwerdeführers entgegen genommen und an das zuständige Gericht weitergeleitet. Dieses habe ein Urteil gefällt, welches das Appellationsgericht auf den Rekurs des Beschwerdeführers hin bestätigt habe. Weiter gebe es keine Hinweise dafür, dass der Beschwerdeführer als Opfer verurteilt und die Gegner aus Mangel an Beweisen freigesprochen worden seien. Diesbezüglich würden erhebliche Zweifel an der behaupteten unkorrekten Vorgehensweise der serbischen Behörden bestehen. Namentlich habe der Beschwerdeführer weder für das Nichteinreichen des erstinstanzliche Urteil noch das Fehlen der zweiten Seite des Appellationsurteils plausible Gründe angeben können. Darüber hinaus seien seine Aussagen teilweise nicht vereinbar mit dem Inhalt der eingereichten Anzeige. Schliesslich sei die angebliche Verfolgungsmotivation der Gegner nicht nachvollziehbar. Dies namentlich auch deshalb, weil der Beschwerdeführer explizit ausgesagt habe, mit dem Tod des Gefallenen nichts zu tun zu haben.</w:t>
      </w:r>
    </w:p>
    <w:p>
      <w:r>
        <w:rPr>
          <w:b/>
        </w:rPr>
        <w:t>E. 3.3</w:t>
      </w:r>
    </w:p>
    <w:p>
      <w:r>
        <w:t>Die Beschwerdeführenden stellen nicht in Abrede, dass sie in Deutschland, und damit in einem zur EU gehörenden Staat, einen ablehnenden Asylentscheid erhalten haben.</w:t>
      </w:r>
    </w:p>
    <w:p>
      <w:r>
        <w:rPr>
          <w:b/>
        </w:rPr>
        <w:t>E. 3.4</w:t>
      </w:r>
    </w:p>
    <w:p>
      <w:r>
        <w:t>Mit den Ausführungen in der Rechtsmitteleingabe zeigen die Beschwerdeführenden nicht auf, inwiefern die angefochtene Verfügung Bundesrecht verletzt oder auf einer fehlerhaften Sachverhaltsfeststellung beruhen soll. Solches ist auch nicht ersichtlich. Entgegen der Ansicht der Beschwerdeführenden hat die Vorinstanz konkret dargelegt, aus welchen Gründen sie Zweifel an der Glaubhaftigkeit den Vorbringen hat. Diese liegen insbesondere nicht in unvereinbaren Aussagen der Beschwerdeführenden, sondern betreffen Unstimmigkeiten zwischen den Aussagen und den eingereichten Dokumenten. Diese Unvereinbarkeiten vermögen durch die andere Punkte betreffende, übereinstimmende Aussagen der Beschwerdeführenden nicht ausgeräumt werden. Sodann bringen die Beschwerdeführenden auch auf Beschwerdeebene keine Gründe für das Nichteinreichen des erstinstanzlichen Urteils und der zweiten Seite des Appellationsentscheides ein. Soweit sich die Beschwerdeführenden zur Anwendbarkeit der Schutztheorie äussern, gehen ihre Ausführungen fehl. Allein deswegen, weil eine der am Verfahren gegen den Beschwerdeführer beteiligte Person H._______ in F._______ sein soll, kann dessen Verhalten nicht dem Staat zugerechnet oder angenommen werden, dass es an Schutzfähigkeit oder Schutzwille fehle. Schliesslich erübrigen sich in diesem Zusammenhang weitergehende Ausführungen, da es sich bei Serbien um ein vom schweizerischen Bundesrat als verfolgungssicher anerkanntes Land nach Art. 6a Abs. 2 AsylG handelt. Zusammenfassend ist festzustellen, dass die Vorinstanz zu Recht gestützt auf Art. 34 Abs. 2 Bst. f AsylG auf die Asylgesuche der Beschwerdeführenden nicht eingetreten ist.</w:t>
      </w:r>
    </w:p>
    <w:p>
      <w:r>
        <w:rPr>
          <w:b/>
        </w:rPr>
        <w:t>E. 4</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S.733). Die Wegweisung wurde demnach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Anhaltspunkte dafür, dass sie für den Fall einer Ausschaffung nach Serbien dort mit beachtlicher Wahrscheinlichkeit einer nach Art. 3 EMRK oder Art. 1 FoK verbotenen Strafe oder Behandlung ausgesetzt wären. Der Vollzug der Wegweisung ist demnach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(vgl. ausführlich BVGE 2009/28 E. 9.3.1). Der Vollzug der Wegweisung nach Serbien ist im Sinne der vorgenannten Bestimmung zumutbar. Die allgemeine Lage in Serbien ist weder durch Krieg, Bürgerkrieg noch durch eine Situation allgemeiner Gewalt gekennzeichnet, aufgrund derer die Zivilbevölkerung allgemein als konkret gefährdet bezeichnet werden müsste. Des Weiteren sind den Akten keine Hinweise auf individuelle, in den Personen der Beschwerdeführenden liegende Vollzugshindernisse zu entnehmen. Zwar hat der Beschwerdeführer mehr als zehn Jahre in Deutschland gelebt. Indes hat die restliche Familie abgesehen von den wenigen Monaten in Deutschland immer in Serbien gelebt und ist deshalb in der dortigen Kultur und Tradition verwurzelt. Zudem leben weitere Verwandte der Beschwerdeführerin nach wie vor in Serbien. Damit verfügen die Beschwerdeführenden in Serbien über ein bestehendes soziales Beziehungsnetz. Insoweit ist die Rückkehr auch für die zwischen drei und zehn Jahre alten Kinder der Beschwerdeführenden zumutbar. Was den finanziellen Unterhalt der Familie anbelangt, so hat der Beschwerdeführer gemäss seinen Angaben keine Berufsausbildung. Indes verfügt er über Arbeitserfahrungen als J._______ und K._______. Auch wenn die Arbeitssituation in Serbien nicht einfach ist, lässt sich nicht von vornherein annehmen, dass die Beschwerdeführenden bei einer Rückkehr keine Arbeit finden. Festzuhalten ist, dass nach konstanter Rechtsprechung blosse soziale und wirtschaftliche Schwierigkeiten keine existenzbedrohende Situation im Sinne von Art. 83 Abs. 4 AuG darstellen (vgl. statt vieler Urteil des Bundesverwaltungsgerichts E-4917/2010 vom 14. Juni 2012). Der Vollzug der Wegweisung erweist sich als zumutbar.</w:t>
      </w:r>
    </w:p>
    <w:p>
      <w:r>
        <w:rPr>
          <w:b/>
        </w:rPr>
        <w:t>E. 5.4</w:t>
      </w:r>
    </w:p>
    <w:p>
      <w:r>
        <w:t>Die Beschwerdeführenden und ihre Kinder sind im Besitze von gültigen Reisepässen, weshalb der Vollzug der Wegweisung auch als möglich zu bezeichnen ist (Art. 83 Abs. 2 AuG).</w:t>
      </w:r>
    </w:p>
    <w:p>
      <w:r>
        <w:rPr>
          <w:b/>
        </w:rPr>
        <w:t>E. 5.5</w:t>
      </w:r>
    </w:p>
    <w:p>
      <w:r>
        <w:t>Zusammenfassend hat die Vorinstanz den Vollzug der Wegweisung zutreffend als zulässig, zumutbar und möglich bezeichnet, weshalb eine vorläufige Aufnahme der Beschwerdeführenden ausser Betracht fällt.</w:t>
      </w:r>
    </w:p>
    <w:p>
      <w:r>
        <w:rPr>
          <w:b/>
        </w:rPr>
        <w:t>E. 6</w:t>
      </w:r>
    </w:p>
    <w:p>
      <w:r>
        <w:t>Nach dem Gesagten ergibt sich, dass die angefochtene Verfügung weder Bundesrecht verletzt noch sonst wie zu beanstanden ist (Art. 106 Abs. 1 AsylG). Die Beschwerde ist abzuweisen, soweit darauf einzutreten ist.</w:t>
      </w:r>
    </w:p>
    <w:p>
      <w:r>
        <w:rPr>
          <w:b/>
        </w:rPr>
        <w:t>E. 7.1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1 - 3 des Reglements vom 21. Februar 2008 über die Kosten und Entschädigungen vor dem Bundesverwaltungsgericht [VGKE], SR 173.320.2) den Beschwerdeführenden aufzuerlegen (Art. 63 Abs. 1 VwVG). Der Antrag auf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