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E-4812/2012 vom 25. September 2012</w:t>
      </w:r>
    </w:p>
    <w:p>
      <w:r>
        <w:t>Bundesverwaltungsgericht, 2012-09-25, DE</w:t>
      </w:r>
    </w:p>
    <w:p>
      <w:r>
        <w:rPr>
          <w:b/>
        </w:rPr>
        <w:t xml:space="preserve">Quelle: </w:t>
      </w:r>
      <w:r>
        <w:t>https://mcp.opencaselaw.ch/entscheid/bvger_E-4812_2012</w:t>
      </w:r>
    </w:p>
    <w:p>
      <w:r>
        <w:t>FR: TAF E-4812/2012 du 25 septembre 2012</w:t>
      </w:r>
    </w:p>
    <w:p>
      <w:r>
        <w:t>IT: TAF E-4812/2012 del 25 settembre 2012</w:t>
      </w:r>
    </w:p>
    <w:p>
      <w:pPr>
        <w:pStyle w:val="Heading2"/>
      </w:pPr>
      <w:r>
        <w:t>Regeste</w:t>
      </w:r>
    </w:p>
    <w:p>
      <w:r>
        <w:t>Nichteintreten auf Asylgesuch (Asylverfahren Schweiz nach Asylverfahren EU/EWR)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32 - 35 AslyG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Das Begehren der Beschwerdeführerin, es sei ihr Asyl zu gewähren, geht über den zulässigen Streitgegenstand hinaus.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Asylgesuche wird nicht eingetreten, wenn Asylsuchende in einem Staat der Europäischen Union (EU) oder des Europäischen Wirtschaftsraums (EWR) einen ablehnenden Asylentscheid erhalten haben, ausser die Anhörung ergebe Hinweise, dass in der Zwischenzeit Ereignisse eingetreten sind, die geeignet sind, die Flüchtlingseigenschaft zu begründen, oder die für die Gewährung vorübergehenden Schutzes relevant sind (Art. 32 Abs. 2 Bst. f AsylG).</w:t>
      </w:r>
    </w:p>
    <w:p>
      <w:r>
        <w:rPr>
          <w:b/>
        </w:rPr>
        <w:t>E. 3.2</w:t>
      </w:r>
    </w:p>
    <w:p>
      <w:r>
        <w:t>Die Vorinstanz gelangt in der angefochtenen Verfügung zum Schluss, es würden keine Hinweise vorliegen, dass seit der Ablehnung des Asylgesuchs der Beschwerdeführerin in Deutschland Ereignisse eingetreten seien, die geeignet seien, die Flüchtlingseigenschaft zu begründen. Gemäss den Angaben der Beschwerdeführerin sei nach ihrer Rückkehr aus Deutschland im Dezember 2011 bis zur Ausreise nichts Besonderes vorgefallen. Angesichts dieser Aussage würden ernsthafte Zweifel an der gleichzeitigen Behauptung bestehen, von einem Mann mit dem Tod bedroht worden zu sein. Sodann habe die Beschwerdeführerin nicht überzeugend darzulegen vermocht, weshalb sie die Drohungen nicht bei der Polizei angezeigt habe.</w:t>
      </w:r>
    </w:p>
    <w:p>
      <w:r>
        <w:rPr>
          <w:b/>
        </w:rPr>
        <w:t>E. 3.3</w:t>
      </w:r>
    </w:p>
    <w:p>
      <w:r>
        <w:t>Die Beschwerdeführerin stellt nicht in Abrede, dass sie in Deutschland, und damit in einem zur EU gehörenden Staat, einen ablehnenden Asylentscheid erhalten hat.</w:t>
      </w:r>
    </w:p>
    <w:p>
      <w:r>
        <w:rPr>
          <w:b/>
        </w:rPr>
        <w:t>E. 3.4</w:t>
      </w:r>
    </w:p>
    <w:p>
      <w:r>
        <w:t>Mit den Ausführungen in der Rechtsmitteleingabe zeigt die Beschwerdeführerin sodann nicht auf, inwiefern die angefochtene Verfügung Bundesrecht verletzt oder auf einer fehlerhaften Sachverhaltsfeststellung beruhen soll. Solches ist auch nicht ersichtlich. Entgegen der Ansicht der Beschwerdeführerin hat die Vorinstanz konkret dargelegt, aus welchen Gründen sie Zweifel an der Glaubhaftigkeit den Vorbringen hat. Die weitergehenden Ausführungen beziehen sich nicht auf die vorinstanzlichen Erwägungen, weshalb darauf nicht weiter einzugehen ist. Die Vorinstanz ist demnach zu Recht gestützt auf Art. 34 Abs. 2 Bst. f AsylG auf das Asylgesuch der Beschwerdeführerin nicht eingetreten.</w:t>
      </w:r>
    </w:p>
    <w:p>
      <w:r>
        <w:rPr>
          <w:b/>
        </w:rPr>
        <w:t>E. 4</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S.733). Die Wegweisung wurde demnach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Beschwerdeführerin noch aus den Akten ergeben sich Anhaltspunkte dafür, dass sie für den Fall einer Ausschaffung nach Serbien dort mit beachtlicher Wahrscheinlichkeit einer nach Art. 3 EMRK oder Art. 1 FoK verbotenen Strafe oder Behandlung ausgesetzt wäre. Der Vollzug der Wegweisung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(vgl. ausführlich BVGE 2009/28 E. 9.3.1). Der Vollzug der Wegweisung nach Serbien ist im Sinne der vorgenannten Bestimmung zumutbar. Die allgemeine Lage in Serbien ist weder durch Krieg, Bürgerkrieg noch durch eine Situation allgemeiner Gewalt gekennzeichnet, aufgrund derer die Zivilbevölkerung allgemein als konkret gefährdet bezeichnet werden müsste. Des Weiteren sind den Akten keine Hinweise auf individuelle, in der Person der Beschwerdeführerin liegende Vollzugshindernisse zu entnehmen. Die Beschwerdeführerin hat abgesehen von den wenigen Monaten in Deutschland immer in Serbien gelebt und ist deshalb in der dortigen Kultur und Tradition verwurzelt. Zudem leben weitere Verwandte der Beschwerdeführerin nach wie vor in Serbien. Damit verfügt die Beschwerdeführerin in Serbien über ein bestehendes soziales Beziehungsnetz. Sodann kann sie zusammen mit ihrer Familie in ihren Heimatstaat zurückkehren. Es ist ihr dabei unbenommen, ihre Ausbildung zu beenden und sich eine eigene Existenz aufzubauen. Auch wenn die Arbeitssituation in Serbien nicht einfach ist, lässt sich nicht von vornherein annehmen, dass die Beschwerdeführerin bei einer Rückkehr keine Arbeit findet. Festzuhalten ist, dass nach konstanter Rechtsprechung blosse soziale und wirtschaftliche Schwierigkeiten keine existenzbedrohende Situation im Sinne von Art. 83 Abs. 4 AuG darstellen (vgl. statt vieler Urteil des Bundesverwaltungsgerichts E-4917/2010 vom 14. Juni 2012). Der Vollzug der Wegweisung erweist sich als zumutbar.</w:t>
      </w:r>
    </w:p>
    <w:p>
      <w:r>
        <w:rPr>
          <w:b/>
        </w:rPr>
        <w:t>E. 5.4</w:t>
      </w:r>
    </w:p>
    <w:p>
      <w:r>
        <w:t>Die Beschwerdeführerin ist im Besitze eines gültigen Reisepasses, weshalb der Vollzug der Wegweisung auch als möglich zu bezeichnen ist (Art. 83 Abs. 2 AuG).</w:t>
      </w:r>
    </w:p>
    <w:p>
      <w:r>
        <w:rPr>
          <w:b/>
        </w:rPr>
        <w:t>E. 5.5</w:t>
      </w:r>
    </w:p>
    <w:p>
      <w:r>
        <w:t>Zusammenfassend hat die Vorinstanz den Vollzug der Wegweisung zutreffend als zulässig, zumutbar und möglich bezeichnet, weshalb eine vorläufige Aufnahme der Beschwerdeführerin ausser Betracht fällt.</w:t>
      </w:r>
    </w:p>
    <w:p>
      <w:r>
        <w:rPr>
          <w:b/>
        </w:rPr>
        <w:t>E. 6</w:t>
      </w:r>
    </w:p>
    <w:p>
      <w:r>
        <w:t>Nach dem Gesagten ergibt sich, dass die angefochtene Verfügung weder Bundesrecht verletzt noch sonst wie zu beanstanden ist (Art. 106 Abs. 1 AsylG). Die Beschwerde ist abzuweisen, soweit darauf einzutreten ist.</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