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E-480/2013 vom 4. Februar 2013</w:t>
      </w:r>
    </w:p>
    <w:p>
      <w:r>
        <w:t>Bundesverwaltungsgericht, 2013-02-04, DE</w:t>
      </w:r>
    </w:p>
    <w:p>
      <w:r>
        <w:rPr>
          <w:b/>
        </w:rPr>
        <w:t xml:space="preserve">Quelle: </w:t>
      </w:r>
      <w:r>
        <w:t>https://mcp.opencaselaw.ch/entscheid/bvger_E-480_2013</w:t>
      </w:r>
    </w:p>
    <w:p>
      <w:r>
        <w:t>FR: TAF E-480/2013 du 4 février 2013</w:t>
      </w:r>
    </w:p>
    <w:p>
      <w:r>
        <w:t>IT: TAF E-480/2013 del 4 febbraio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vorbehältlich der nachstehenden Erwägungen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 Im Rahmen dieser Zuständigkeitsprüfung ist, wie nachstehend aufgezeigt, kein Raum für die Frage der Asylgewährung, wie das der Be-schwerdeführer beantragt.</w:t>
      </w:r>
    </w:p>
    <w:p>
      <w:r>
        <w:rPr>
          <w:b/>
        </w:rPr>
        <w:t>E. 4.1</w:t>
      </w:r>
    </w:p>
    <w:p>
      <w:r>
        <w:t>Die Vorinstanz erwog in ihrer Verfügung, der Beschwerdeführer habe angegeben, im Jahre 2009 von Russland über Finnland nach Schweden gereist zu sein. Dort habe er um Asyl nachgesucht, den Entscheid indessen nicht abgewartet; er sei nach Russland zurückgereist und kurze Zeit später erneut über Finnland nach Schweden gereist. Schliesslich sei er via Dänemark und Deutschland in die Schweiz gelangt. Er mache damit eine Ausreise aus dem Hoheitsgebiet der Dublin-Staaten geltend. Seine Vorbringen seien jedoch unglaubhaft und unsubstanziiert. Es sei nicht nachvollziehbar, dass er die Reisen ohne Identitätspapiere gemacht und zweimal die Schengen-Aussengrenze überschritten habe, ohne kontrolliert worden zu sein. Auch habe er angegeben, Schweden im Jahre 2010 verlassen zu haben, ohne den Asylentscheid abzuwarten. Gemäss Informationen der schwedischen Behörden habe der Beschwerdeführer erst im Jahre 2011 als verschwunden gegolten; weiter sei der Zustimmung Schwedens vom 17. Januar 2013 auf das Ersuchen des BFM zu entnehmen, dass das dortige Asylverfahren bereits abgeschlossen gewesen sei. Die schwedischen Behörden hätten das Ersuchen um Übernahme des Beschwerdeführers gestützt auf Art. 16 Abs. 1 Bst. e der Verordnung (EG) Nr. 343/2003 des Rates vom 18. Februar 2003 zur Festlegung der Kriterien und Verfahren zur Bestimmung des Mitgliedstaates, der für die Prüfung eines von einem Drittstaatsangehörigen in einem Mitgliedstaat gestellten Asylantrags zuständig ist (VO Dublin), gutgeheissen. Der Beschwerdeführer habe im Rahmen des ihm am 26. November 2012 gewährten rechtlichen Gehörs keine Gründe gegen eine Rückkehr nach Schweden geltend gemacht, vielmehr habe er betont, dass Schweden ein sicheres Land sei.</w:t>
      </w:r>
    </w:p>
    <w:p>
      <w:r>
        <w:rPr>
          <w:b/>
        </w:rPr>
        <w:t>E. 4.2</w:t>
      </w:r>
    </w:p>
    <w:p>
      <w:r>
        <w:t>In der Rechtsmitteleingabe, welcher ebenso wie dem Asylgesuch keinerlei Beweismittel beilagen, wird ausgeführt, es möge zutreffen, dass der Beschwerdeführer in Schweden ein Asylgesuch gestellt habe, und den Akten sei offenbar zu entnehmen, dass Schweden einer Rückübernahme zugestimmt habe. Indessen sei nicht erstellt, dass das dortige Verfahren abgeschlossen gewesen sei, als er als verschwunden gegolten habe. Die Vorbringen würden mit keinerlei Fakten widerlegt. Es sei sehr wahrscheinlich, dass er ohne jede Kontrolle die Schengen-Grenze überschritten habe. Auch sei zu vermuten, dass die schwedischen Behörden das Asylgesuch materiell nicht geprüft, sondern aufgrund seines Verschwindens das Verfahren "abgeschlossen" hätten. Ein Asylverfahren mit materieller Prüfung der Gründe habe dort nie stattgefunden, und er habe ein Anrecht darauf, dass dies nachgeholt werde. Im Übrigen habe er in Schweden religiöse Verfolgung erfahren. Er sei bedroht und geschlagen worden; er hätte gezwungen werden sollen, den christlichen Glauben abzulegen und Moslem zu werden. Dies habe er nicht zu Protokoll gegeben, weil er bei der Anhörung nicht danach gefragt worden sei. Der angefochtene Entscheid gehe vorschnell und willkürlich von Tatsachen aus, die nicht erhärtet seien. Er habe Anspruch auf ein vollständiges Verfahren, weshalb die Verfügung des BFM aufzuheben sei. Da er fürsorgeabhängig sei, sei ihm die unentgeltliche Rechtspflege zu gewähren; er sei von Gerichtskosten freizuhalten, und der Unterzeichnete sei als Rechtsbeistand einzusetzen. 5.Die Vorbringen des Beschwerdeführers sind nicht geeignet, zu einem anderen Ergebnis als das BFM zu kommen. Vorweg ist festzustellen, dass der Beschwerdeführer im vorinstanzlichen Verfahren gegen eine Rückkehr nach Schweden keinerlei Einwände machte und betonte, dass Schweden ein sicheres Land sei. Umso weniger kann ihm geglaubt werden, dass er dort wegen seines Glaubens Übergriffen ausgesetzt gewesen sein soll, hätte er sich doch gegebenenfalls im bekundeten Vertrauen, dass die schwedischen Behörden solches nicht tolerieren würden, an diese gewandt. Das Vorbringen ist als nachgeschoben zu qualifizieren, die diesbezügliche Erklärung in der Rechtsmittelschrift vermag daran nichts zu ändern. Dieses Vertrauen in die schwedischen Behörden ist zudem auch unvereinbar mit der auf Beschwerdeebene vorgebrachten Vermutung, das dortige Asylverfahren sei nicht korrekt abgewickelt worden. Es ist schlicht verquer, einerseits Schweden als sicheren Staat zu bezeichnen und anderseits diesem gleichzeitig zu unterstellen, er sei seinen Verpflichtungen gemäss den einschlägigen internationalen Übereinkommen nicht nachgekommen. Sodann sind die Vorbringen durch nichts belegt. Der Beschwerdeführer hat weder im vorinstanzlichen Verfahren noch auf Beschwerdeebene etwa Tickets, Rechnungen oder irgendwelche andere Papiere, die bei Reisen zwangsläufig anfallen, zu den Akten gegeben. Im Rahmen der Mitwirkungspflicht gemäss Art. 8 AsylG ist der Asylsuchende gehalten, an der Feststellung des Sachverhalts mitzuwirken. Vorliegend ist nicht einmal ansatzweise ersichtlich, dass er sich diesbezüglich aktiv gezeigt hätte. Vielmehr sind vor allem die Vorbringen auf Beschwerdeebene Behauptungen und es wird durch nichts belegt Kritik an den schweizerischen (und schwedischen) Asylbehörden geübt. Zur Zuständigkeit Schwedens ist denn auch einzig anzumerken, dass dieses Land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keine konkreten Hinweise dafür vorliegen, dass sich Schweden im konkreten Fall nicht an die daraus resultierenden Verpflichtungen halten würde. Der Beschwerdeführer hätte sich denn auch wegen der angeblichen Übergriffe an die schwedischen Behörden wenden können, was er aber gemäss Aktenlage nicht gemacht hat. Da es vorliegend einzig und allein um die Frage geht, ob Schweden für das Verfahren des Beschwerdeführers zuständig ist, kann auf die beantragte Asylgewährung nicht eingegangen werden (s. nachstehend E. 6.2), Ohne weiteren Begründungsaufwand ist demnach festzustellen, dass die Vorinstanz zutreffend von der Zuständigkeit Schwedens ausgegangen und in Anwendung von Art. 34 Abs. 2 Bst. d AsylG zu Recht auf das Asylgesuch nicht eingetreten ist.</w:t>
      </w:r>
    </w:p>
    <w:p>
      <w:r>
        <w:rPr>
          <w:b/>
        </w:rPr>
        <w:t>E. 6.1</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10.2). Die Vorinstanz hat in diesem Sinne den Vollzug der Wegwei­sung nach Schweden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 soweit darauf einzutreten ist.</w:t>
      </w:r>
    </w:p>
    <w:p>
      <w:r>
        <w:rPr>
          <w:b/>
        </w:rPr>
        <w:t>E. 8</w:t>
      </w:r>
    </w:p>
    <w:p>
      <w:r>
        <w:t>Da sich die Beschwerde aufgrund vorstehender Erwägungen als aussichtslos erweist, ist das Gesuch um Gewährung der unentgeltlichen Prozessführung und Verbeiständung ungeachtet der in Aussicht gestellten Fürsorgebestätigung abzuweisen. Die Kosten des Verfahrens in der Höhe von Fr. 600.- (Art. 1-3 des Reglements vom 21. Februar 2008 über die Kosten und Entschädigungen vor dem Bundesverwaltungsgericht [VGKE], SR 173.320.2)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