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E-47/2019 vom 17. Juni 2021</w:t>
      </w:r>
    </w:p>
    <w:p>
      <w:r>
        <w:t>Bundesverwaltungsgericht, 2021-06-17, FR</w:t>
      </w:r>
    </w:p>
    <w:p>
      <w:r>
        <w:rPr>
          <w:b/>
        </w:rPr>
        <w:t xml:space="preserve">Quelle: </w:t>
      </w:r>
      <w:r>
        <w:t>https://mcp.opencaselaw.ch/entscheid/bvger_E-47_2019</w:t>
      </w:r>
    </w:p>
    <w:p>
      <w:r>
        <w:t>FR: TAF E-47/2019 du 17 juin 2021</w:t>
      </w:r>
    </w:p>
    <w:p>
      <w:r>
        <w:t>IT: TAF E-47/2019 del 17 giugno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2010/28 consid. 3.3.1.1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4.1</w:t>
      </w:r>
    </w:p>
    <w:p>
      <w:r>
        <w:t>En l'occurrence, il convient de déterminer si c'est à bon droit que le SEM a considéré que les déclarations du recourant ne satisfaisaient pas aux conditions de l'art. 3 LAsi.</w:t>
      </w:r>
    </w:p>
    <w:p>
      <w:r>
        <w:rPr>
          <w:b/>
        </w:rPr>
        <w:t>E. 4.2</w:t>
      </w:r>
    </w:p>
    <w:p>
      <w:r>
        <w:t>Il y a d'abord lieu de relever que le lien de causalité entre l'agression dont l'intéressé aurait été victime à C._______, le (...) 2016, et le besoin de protection allégué a été rompu à l'évidence du point de vue matériel, voire également du point de vue temporel. Outre le fait que, suite à cet évènement, le recourant n'a quitté son pays qu'en (...) de l'année suivante - à savoir près de huit mois plus tard -, il est retourné spontanément en Tunisie en date du (...) 2017, qui plus est à C._______, sa ville d'origine, là où ladite agression aurait précisément eu lieu. Dans ces circonstances, le recourant ne saurait se fonder sur les évènements antérieurs au retour dans son pays, en (...) 2017, pour prétendre à la reconnaissance de sa qualité de réfugié.</w:t>
      </w:r>
    </w:p>
    <w:p>
      <w:r>
        <w:rPr>
          <w:b/>
        </w:rPr>
        <w:t>E. 4.3</w:t>
      </w:r>
    </w:p>
    <w:p>
      <w:r>
        <w:t>S'agissant des évènements ayant précédé son départ définitif de Tunisie en date du (...) 2017, le recourant relève avoir reçu des coups, alors qu'il tentait d'expliquer sa situation à sa famille, en particulier à son père, qui avait été informé de son orientation sexuelle par le biais d'un réseau social. Faisant valoir une crainte de persécution future, il allègue que la pression psychique exercée sur lui par son entourage était insupportable et redoute la réaction de ses cousins ainsi que les salafistes.</w:t>
      </w:r>
    </w:p>
    <w:p>
      <w:r>
        <w:rPr>
          <w:b/>
        </w:rPr>
        <w:t>E. 4.3.1</w:t>
      </w:r>
    </w:p>
    <w:p>
      <w:r>
        <w:t>A cet égard, le Tribunal a déjà eu l'occasion de préciser qu'il n'y avait pas lieu d'admettre une persécution systématique des personnes homosexuelles en Tunisie, mais qu'il devait être procédé à un examen concret et individuel (cf. arrêt du Tribunal E-5830/2018 du 21 août 2020 consid. 6.4).</w:t>
      </w:r>
    </w:p>
    <w:p>
      <w:r>
        <w:rPr>
          <w:b/>
        </w:rPr>
        <w:t>E. 4.3.2</w:t>
      </w:r>
    </w:p>
    <w:p>
      <w:r>
        <w:t>S'agissant de la situation particulière du recourant, sans remettre en doute son orientation sexuelle, ni les difficultés qu'il a pu rencontrer avec certains membres de sa famille pour ce motif, il y a lieu de constater que celui-là n'a pas allégué avoir subi de préjudices une fois parti à Tunis en juillet 2017. Or, faute d'intensité suffisante, les difficultés affectant ses relations avec sa famille et les éventuels coups que son père lui aurait portés ne sont pas déterminants en matière d'asile, même si le recourant pouvait certes ressentir une certaine pression psychique de la part de ses parents. A cet égard, si l'intéressé a déclaré avoir été frappé par son père, il s'agissait visiblement d'une dispute, car ce dernier a alors menacé de le dénoncer aux autorités non pas en raison de son homosexualité, mais pour avoir été violent (cf. procès-verbal [ci-après : p-v] du [...] 2017, Q39 et Q47, p. 12). Indépendamment de leurs positions conservatrices, ses parents avaient vraisemblablement le souci de garder son homosexualité secrète, non pour but de l'exposer aux yeux des autorités. En tout état de cause, il faut relever que le recourant a le loisir, en tant que personne adulte et indépendante, de se soustraire à une telle pression en s'installant à Tunis, une ville où il a déjà vécu pendant ses études ; à ce propos, il a du reste lui-même indiqué avoir pu mener une « vie normale » dans la capitale (cf. p-v du [...] 2017, Q47, p.10). Même s'il a précisé avoir observé une certaine discrétion et que l'un de ses colocataires, n'ayant pas approuvé son homosexualité, l'avait contraint à déménager, il ressort de ses dires qu'il n'y a pas rencontré de difficultés particulières, en raison de son orientation sexuelle, alors même qu'il fréquentait d'autres personnes homosexuelles et entretenait des relations amoureuses. Par ailleurs, il bénéficie d'une situation favorable lui permettant de mener une vie conforme à la dignité humaine dans son pays. En plus d'être un homme dans la force de l'âge, il dispose en effet d'une licence universitaire en droit privé et d'une expérience professionnelle en tant qu'assistant juridique (cf. diplôme du [...] ; attestation de stage [...]), autant d'atouts qui lui permettront de trouver un emploi et de s'installer à Tunis, sans dépendre financièrement de ses parents. Enfin, il a indiqué, d'une part, connaître des personnes homosexuelles qui se seraient installées à Sousse et y auraient trouvé une place de travail et, d'autre part, que la mentalité dans cette ville touristique était plus ouverte (cf. p-v du [...] 2017, Q84).</w:t>
      </w:r>
    </w:p>
    <w:p>
      <w:r>
        <w:rPr>
          <w:b/>
        </w:rPr>
        <w:t>E. 4.3.3</w:t>
      </w:r>
    </w:p>
    <w:p>
      <w:r>
        <w:t>S'agissant des craintes du recourant en lien avec l'éventuelle réaction de ses cousins par rapport à son homosexualité et avec les salafistes qui pourraient se souvenir encore de lui, elles ne reposent que sur une simple hypothèse et ne peuvent être considérées comme fondées.</w:t>
      </w:r>
    </w:p>
    <w:p>
      <w:r>
        <w:rPr>
          <w:b/>
        </w:rPr>
        <w:t>E. 4.3.4</w:t>
      </w:r>
    </w:p>
    <w:p>
      <w:r>
        <w:t>Compte tenu de ce qui précède, et même si la situation des personnes homosexuelles est nettement moins favorable en Tunisie qu'en Suisse, il ne peut être admis, qu'au regard de sa situation personnelle, l'intéressé puisse être objectivement ou subjectivement fondé à craindre une persécution future à cause de son orientation sexuelle, en cas de retour dans son pays d'origine. Dans ces circonstances, le risque éventuel, allégué par l'association (...) dans l'attestation du (...) 2021, laquelle y estime que son homosexualité pourrait être exposée en raison de son accès aux soins nécessaires à (...), ne permet pas de conduire à une conclusion différente.</w:t>
      </w:r>
    </w:p>
    <w:p>
      <w:r>
        <w:rPr>
          <w:b/>
        </w:rPr>
        <w:t>E. 4.4</w:t>
      </w:r>
    </w:p>
    <w:p>
      <w:r>
        <w:t>En conséquence, c'est à juste titre que le SEM a considéré que les déclarations du recourant ne satisfaisaient pas aux conditions requises pour la reconnaissance de la qualité de réfugié au sens de l'art. 3 LAsi.</w:t>
      </w:r>
    </w:p>
    <w:p>
      <w:r>
        <w:rPr>
          <w:b/>
        </w:rPr>
        <w:t>E. 5</w:t>
      </w:r>
    </w:p>
    <w:p>
      <w:r>
        <w:t>Au vu de ce qui précède, le recours doit être rejeté, en tant qu'il conteste le refus de reconnaissance de la qualité de réfugié et d'octroi de l'asile, et la décision attaquée confirmée sur ces points.</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S'agissant de l'exécution du renvoi, le Tribunal constate cependant que, dans sa décision du 16 mars 2021, le SEM a considéré que cette mesure n'était pas raisonnablement exigible et l'a remplacée par une admission provisoire (art. 83 al. 1 LEI [RS 142.20]). Il n'y a dès lors pas lieu de se prononcer sur ce point, les conditions posées par l'art. 83 al. 2 à 4 LEI empêchant l'exécution du renvoi (illicéité, inexigibilité ou impossibilité) étant de nature alternative (cf. ATAF 2009/51 consid. 5.4). Le recours est par conséquent devenu sans objet sur la question de l'exécution du renvoi.</w:t>
      </w:r>
    </w:p>
    <w:p>
      <w:r>
        <w:rPr>
          <w:b/>
        </w:rPr>
        <w:t>E. 8.1</w:t>
      </w:r>
    </w:p>
    <w:p>
      <w:r>
        <w:t>Le recourant ayant partiellement gain de cause (sur les points 4 et 5 du dispositif de la décision attaquée), il y a lieu de réduire le montant des frais de procédure à sa charge, conformément aux art. 63 al. 1 PA et 2 et 3 let. b du règlement du 21 février 2008 concernant les frais, dépens et indemnités fixés par le Tribunal administratif fédéral (FITAF, RS 173.320.2). Ceux-ci sont ainsi réduits à 450 francs et compensés avec l'avance de frais versée le 5 mars 2019. Le solde de 300 francs sera restitué au recourant.</w:t>
      </w:r>
    </w:p>
    <w:p>
      <w:r>
        <w:rPr>
          <w:b/>
        </w:rPr>
        <w:t>E. 8.2.1</w:t>
      </w:r>
    </w:p>
    <w:p>
      <w:r>
        <w:t>En outre, l'intéressé a droit à des dépens partiels, dans la mesure où il a obtenu gain de cause sur la question de l'admission provisoire. Seuls les frais indispensables et relativement élevés qui lui ont été occasionnés par la procédure sont indemnisés (art. 64 al. 1 et 7 ss FITAF).</w:t>
      </w:r>
    </w:p>
    <w:p>
      <w:r>
        <w:rPr>
          <w:b/>
        </w:rPr>
        <w:t>E. 8.2.2</w:t>
      </w:r>
    </w:p>
    <w:p>
      <w:r>
        <w:t>En l'absence d'une note de frais (art. 14 al. 2 FITAF), l'indemnité allouée à titre de dépens est arrêtée à un montant de 700 francs, tous frais et taxes comprises.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