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E-47/2015 vom 12. Januar 2015</w:t>
      </w:r>
    </w:p>
    <w:p>
      <w:r>
        <w:t>Bundesverwaltungsgericht, 2015-01-12, DE</w:t>
      </w:r>
    </w:p>
    <w:p>
      <w:r>
        <w:rPr>
          <w:b/>
        </w:rPr>
        <w:t xml:space="preserve">Quelle: </w:t>
      </w:r>
      <w:r>
        <w:t>https://mcp.opencaselaw.ch/entscheid/bvger_E-47_2015</w:t>
      </w:r>
    </w:p>
    <w:p>
      <w:r>
        <w:t>FR: TAF E-47/2015 du 12 janvier 2015</w:t>
      </w:r>
    </w:p>
    <w:p>
      <w:r>
        <w:t>IT: TAF E-47/2015 del 12 gennaio 2015</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Verfolgung ist asylbeachtlich, wenn sie vom Staat ausgeht; wogegen nichtstaatliche Verfolgung nur dann asylbeachtlich ist, wenn der Staat zur Verfolgung anregt oder sich diese in anderer Weise zurechnen lassen muss oder er generell nicht in der Lage ist, vor Verfolgung ausreichend Schutz zu bieten. 4.2 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w:t>
      </w:r>
    </w:p>
    <w:p>
      <w:r>
        <w:t>Der Vorinstanz ist darin zuzustimmen, dass der Beschwerdeführer Verfolgung von privater Seite geltend macht, zumal er selber an der Kurzbefragung ausdrücklich erklärt, mit dem Staat keine Probleme gehabt zu haben, und entgegen der Beschwerde von der Schutzfähigkeit und der Schutzbereitschaft des kosovarischen Staates, bei dem es sich um einen verfolgungssicheren Staat im Sinne von Art. 6a Abs. 2 Bst. a AsylG handelt, auszugehen ist. Diesbezüglich ist ohne weiteren Begründungsaufwand auf die zutreffenden Ausführungen der Vorinstanz zu verweisen. Das Gericht geht mit der Vorinstanz ebenfalls darin einig, dass keine konkreten Hinweise vorliegen, die auf Schutzverweigerung oder Schutzunfähigkeit der kosovarischen Polizei schliessen liessen. Im Gegenteil hat der Beschwerdeführer selber angegeben, dass seine Anzeigen entgegengenommen worden seien. Den Vorfall betreffend seinen (...) hat er der Polizei dagegen nicht gemeldet und auch im Spital angegeben, jener sei verunfallt. Damit hat er die Schutzsuche im Kosovo offensichtlich nicht ausgeschöpft. Auch in den anderen Angelegenheiten hätte er aufgrund der Subsidiarität des Asyls sich gegebenenfalls an die nächsthöhere Instanz im Kosovo wenden müssen, bevor er in der Schweiz um Schutz ersucht hat. Die Vorbringen erfüllen die Flüchtlingseigenschaft folglich nicht. Darüber hinaus sind sie, wie die Vorinstanz zu Recht und mit zutreffender Begründung festgestellt hat, auch unglaubhaft. Insbesondere liegen die geltend gemachten Übergriffe bereits Jahre zurück und jüngere Ereignisse vermochte der Beschwerdeführer in keiner Weise zu substanziieren. Die Ausführungen auf Beschwerdeebene zur allgemeinen Lage der Roma im Kosovo sind unbehelflich. Dem Beschwerdeführer ist es somit nicht gelungen, die Flüchtlingseigenschaft nachzuweisen oder zumindest glaubhaft zu machen, weshalb die Vorinstanz die Flüchtlingseigenschaft zu Recht verneint und das Asylgesuch abgelehnt hat.</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 7.1 Ist der Vollzug der Wegweisung nicht zulässig, nicht zumutbar oder nicht möglich, regelt das Bundesamt das Anwesenheitsverhältnis nach den gesetzlichen Bestimmungen über die vorläufige Aufnahme von Ausländern (Art. 44 AsylG; Art. 83 Abs. 1 AuG, [SR 142.20]). 7.2 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Beschwerdeführer konnte keine asylrelevanten Vorbringen geltend machen. Entgegen seinen Ausführungen ergeben sich nach den erfolgten Erwägungen und aufgrund der Akten auch keine konkreten Anhaltspunkte dafür, dass er für den Fall einer Ausschaffung nach Kosovo dort mit beachtlicher Wahrscheinlichkeit einer nach Art. 3 EMRK oder Art. 1 FoK verbotenen Strafe oder Behandlung ausgesetzt wäre. Der Vollzug der Wegweisung ist demnach sowohl im Sinne der asyl- als auch der völkerrechtlichen Bestimmungen zulässig. 7.3 Der Vollzug der Wegweisung kann nach Art. 83 Abs. 4 AuG unzumutbar sein, wenn der Ausländer oder die Ausländerin im Heimat- oder Herkunftsstaat auf Grund von Situationen wie Krieg, Bürgerkrieg, allgemeiner Gewalt und medizinischer Notlage konkret gefährdet sind. Die allgemeine Lage im Kosovo ist weder von Krieg noch von allgemeiner Gewalt gekennzeichnet, aufgrund derer die Bevölkerung konkret gefährdet wäre und eine Rückführung dorthin als generell unzumutbar betrachtet werden müsste (vgl. BVGE 2011/50). Beim Beschwerdeführer handelt es sich um einen jungen und gesunden Mann, dessen Eltern und (...) Geschwister im Kosovo leben und der ausserdem über weitere Angehörige in der Schweiz, in Deutschland und in Schweden verfügt, die ihn auch finanziell unterstützen können. Er ist ausgebildeter (...). Im Kosovo betrieb er zusammen mit seiner Familie Landwirtschaft und wohnte im Haus seines Vaters. Nach dem Gesagten kann aufgrund der Akten von einer gesicherten Wohnsituation und einem tragfähigen Beziehungsnetz ausgegangen werden, so dass sich weitere Abklärungen erübrigen und der Wegweisungsvollzug in den Kosovo sich auch im Lichte der Rechtsprechung des Bundesverwaltungsgerichts als zumutbar erweist (vgl. BVGE 2009/51 E. 5; 2007/10). 7.4 Der Vollzug der Wegweisung des Beschwerdeführers in den Heimatstaat ist schliesslich auch möglich, da keine Vollzugshindernisse bestehen (Art. 83 Abs. 2 AuG) und es dem Beschwerdeführer obliegt, bei der Beschaffung gültiger Reisepapiere mitzuwirken (vgl. Art. 8 Abs. 4 AsylG und dazu auch BVGE 2008/34 E. 12). 7.5 Zusammenfassend ist der vom Bundesamt angeordnete Wegweisungsvollzug nicht zu beanstanden.</w:t>
      </w:r>
    </w:p>
    <w:p>
      <w:r>
        <w:rPr>
          <w:b/>
        </w:rPr>
        <w:t>E. 8</w:t>
      </w:r>
    </w:p>
    <w:p>
      <w:r>
        <w:t>Nach dem Gesagten verletzt die angefochtene Verfügung Bundesrecht nicht und ist auch sonst nicht zu beanstanden (Art. 106 Abs. 1 AsylG). Die Beschwerde ist abzuweisen.</w:t>
      </w:r>
    </w:p>
    <w:p>
      <w:r>
        <w:rPr>
          <w:b/>
        </w:rPr>
        <w:t>E. 9</w:t>
      </w:r>
    </w:p>
    <w:p>
      <w:r>
        <w:t>Die gestellten Begehren erweisen sich als aussichtslos, weshalb die Gesuche um Gewährung der unentgeltlichen Rechtspflege sowie um unentgeltliche Rechtsverbeiständung ungeachtet einer allenfalls bestehenden prozessualen Bedürftigkeit abzuweisen sind (Art. 65 Abs. 1 VwVG und Art. 110a Abs. 1 Bst. a AsylG).</w:t>
      </w:r>
    </w:p>
    <w:p>
      <w:r>
        <w:rPr>
          <w:b/>
        </w:rPr>
        <w:t>E. 10</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