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E-4799/2012 vom 21. Februar 2014</w:t>
      </w:r>
    </w:p>
    <w:p>
      <w:r>
        <w:t>Bundesverwaltungsgericht, 2014-02-21, DE</w:t>
      </w:r>
    </w:p>
    <w:p>
      <w:r>
        <w:rPr>
          <w:b/>
        </w:rPr>
        <w:t xml:space="preserve">Quelle: </w:t>
      </w:r>
      <w:r>
        <w:t>https://mcp.opencaselaw.ch/entscheid/bvger_E-4799_2012</w:t>
      </w:r>
    </w:p>
    <w:p>
      <w:r>
        <w:t>FR: TAF E-4799/2012 du 21 février 2014</w:t>
      </w:r>
    </w:p>
    <w:p>
      <w:r>
        <w:t>IT: TAF E-4799/2012 del 21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Gemäss Übergangsbestimmungen zur Änderung des Asylgesetzes vom 14. Dezember 2012 Abs. 1 gilt im vorliegenden Verfahren das neue Recht.</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können die Verletzung von Bundesrecht sowie die unrichtige oder unvollständige Feststellung des rechtserheblichen Sachverhalts gerügt werden (Art. 106 Abs. 1 AsylG).</w:t>
      </w:r>
    </w:p>
    <w:p>
      <w:r>
        <w:rPr>
          <w:b/>
        </w:rPr>
        <w:t>E. 3</w:t>
      </w:r>
    </w:p>
    <w:p>
      <w:r>
        <w:t>Wie in der Zwischenverfügung vom 26. September 2012 festgestellt, beschränkt sich der Prozessgegenstand im vorliegenden Verfahren auf die Frage, ob die Beschwerdeführerin aufgrund subjektiver Nachfluchtgründe im Sinne von Art. 54 AsylG infolge illegaler Ausreise die Flüchtlingseigenschaft erfüllt. Die Unglaubhaftigkeit der Vorfluchtgründe und der vorgebrachten konkreten Ausreisemodalitäten wird in der Beschwerde dagegen nicht bestritten. Die Abweisung des Asylgesuchs ist unangefochten in Rechtskraft erwachsen.</w:t>
      </w:r>
    </w:p>
    <w:p>
      <w:r>
        <w:rPr>
          <w:b/>
        </w:rPr>
        <w:t>E. 4</w:t>
      </w:r>
    </w:p>
    <w:p>
      <w:r>
        <w:t>Die formelle Rüge, die aus dem Anspruch auf rechtliches Gehör (Art. 29 Abs. 2 der Bundesverfassung der Schweizerischen Eidgenossenschaft vom 18. April 1999 [BV, SR 101]) resultierende Begründungspflicht sei verletzt, weil das BFM seine Herkunftsländerinformationen nicht offengelegt habe, geht fehl. Denn Fachwissen als solches - wie etwa Kenntnisse über das Herkunftsland der Asylsuchenden - kann nicht ediert werden und eine Offenlegung sämtlicher verwendeter Quellen einschliesslich Fundstellenangaben ist in Verfügungen im Verwaltungsverfahren denn auch weder üblich noch erforderlich, zumal es sich bei einer Verfügung nicht um eine wissenschaftliche Abhandlung handelt. Das BFM hat in der angefochtenen Verfügung einlässlich begründet, wie es die Situation in Eritrea einschätzt. Die Beschwerde selbst zeigt denn auch, dass eine sachgerechte Anfechtung möglich war. Nach dem Gesagten sind das Begehren auf Aufhebung des angefochtenen Entscheides und Rückweisung der Sache an das BFM unter dessen Anweisung zur Offenlegung sämtlicher Herkunftsländerinformationen, auf welche es seinen Entscheid stütze, mittels Quellenangaben sowie das Begehren auf Anweisung des BFM zur entsprechenden Offenlegung im Rahmen des Beschwerdeverfahrens mit anschliessender Fristansetzung zur Stellungnahme der Beschwerdeführerin abzuweisen.</w:t>
      </w:r>
    </w:p>
    <w:p>
      <w:r>
        <w:rPr>
          <w:b/>
        </w:rPr>
        <w:t>E. 5.1</w:t>
      </w:r>
    </w:p>
    <w:p>
      <w:r>
        <w:t>Gemäss Art. 54 AsylG wird Flüchtlingen kein Asyl gewählt, wenn sie erst durch ihre Ausreise aus dem Heimat- oder Herkunftsstaat oder wegen ihres Verhaltens nach der Ausreise Flüchtlinge im Sinne von Art. 3 AsylG wurden (subjektive Nachfluchtgründe).</w:t>
      </w:r>
    </w:p>
    <w:p>
      <w:r>
        <w:rPr>
          <w:b/>
        </w:rPr>
        <w:t>E. 5.2</w:t>
      </w:r>
    </w:p>
    <w:p>
      <w:r>
        <w:t>Wer subjektive Nachfluchtgründe geltend macht, muss diese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In Übereinstimmung mit der Vorinstanz und der Beschwerdeführerin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etwa das Urteil des Bundesverwaltungsgerichts E-5045/2009 vom 29. No-vember 2012 E. 6.4.2 mit weiteren Hinweisen).</w:t>
      </w:r>
    </w:p>
    <w:p>
      <w:r>
        <w:rPr>
          <w:b/>
        </w:rPr>
        <w:t>E. 6.1</w:t>
      </w:r>
    </w:p>
    <w:p>
      <w:r>
        <w:t>Das BFM räumte in seiner Verfügung ein, dass es notorisch schwierig sei, das Land legal zu verlassen, ging aber aufgrund der unglaubhaften Vorbringen der Beschwerdeführerin und der vorgelegten Dokumente davon aus, dass sie legal aus Eritrea ausgereist sei (vgl. Sachverhalt Bst. B).</w:t>
      </w:r>
    </w:p>
    <w:p>
      <w:r>
        <w:rPr>
          <w:b/>
        </w:rPr>
        <w:t>E. 6.2</w:t>
      </w:r>
    </w:p>
    <w:p>
      <w:r>
        <w:t>Die Beschwerdeführerin bestreitet auf Beschwerdeebene die Feststellung des BFM, dass die Angaben zu den Vorfluchtgründen und den Modalitäten der Ausreise unglaubhaft seien, nicht. Sie hält weder an den bisherigen Vorbringen fest noch macht sie neue Angaben zu ihrer angeblich illegalen Ausreise. Vielmehr beruft sie sich lediglich auf ihr wehrdienstfähiges Alter und die oben dargelegte Praxis des Bundesverwaltungsgerichts zur Republikflucht. Dem BFM hält sie entgegen, eine legale Ausreise habe ihr trotz Abklärungen bei der deutschen und der französischen Vertretung in Khartum nicht nachgewiesen werden können.</w:t>
      </w:r>
    </w:p>
    <w:p>
      <w:r>
        <w:rPr>
          <w:b/>
        </w:rPr>
        <w:t>E. 6.3</w:t>
      </w:r>
    </w:p>
    <w:p>
      <w:r>
        <w:t>Aufgrund der Akten stimmt das Gericht der Vorinstanz darin zu, dass die Vorbringen der Beschwerdeführerin zu den Umständen der Ausreise unglaubhaft sind, zumal das 45 km südlich der Stadt H._______ in der Wüste gelegene Ausbildungscamp F._______, aus welchem die Beschwerdeführerin zu Fuss in den Sudan gegangen sein will, sich rund 300 km Luftlinie von der sudanesischen Grenze entfernt befindet und die Beschwerdeführerin auf Beschwerdeebene an der Schilderung der Ausreise auch nicht festhält. Obwohl die Beschwerdeführerin die wahren Umstände ihrer Ausreise offensichtlich verheimlicht, kann (angesichts der Tatsache, dass sie zur Zeit ihrer Ausreise - wenn auch das genaue Ausreisedatum nicht gesichert ist - mit Sicherheit älter als elf und jünger als 47 Jahre alt war, und unter Berücksichtigung der Erwägung 5.3) aus der Unglaubhaftigkeit der Vorbringen zwar noch nicht auf eine legale Ausreise geschlossen werden. Auch dass die Beschwerdeführerin Dokumente vorgelegt hat, welche für die Ausstellung von Pass und Ausreisevisum benötigt werden, reicht als Indiz für eine legale Ausreise nicht aus, zumal sich daraus nicht zwingend ergibt, dass diese Dokumente tatsächlich für ein Gesuch um Passausstellung und Ausreisevisum verwendet wurden bzw. dass ein solches Gesuch tatsächlich genehmigt wurde. Aber genauso wenig reicht es aus, sich einzig auf die notorisch schwierige legale Ausreise zu berufen, ohne die konkreten Ausreisegründe und -umstände auch nur ansatzweise darzutun. Denn auch unter der in Erwägung 5.3 dargelegten Rechtsprechung gilt weiterhin von Gesetzes wegen, dass die Beschwerdeführerin das Vorliegen von subjektiven Nachfluchtgründen beweisen oder zumindest glaubhaft machen muss. Davon wird sie nicht entbunden. Die gesetzliche Beweis- bzw. Substanziierungslast wird nicht umgekehrt. Unter diesen Umständen ist aufgrund der unglaubhaften Vorbringen im erstinstanzlichen Verfahren, welche im Übrigen ein schiefes Licht auf die persönliche Glaubwürdigkeit der Beschwerdeführerin werfen, und angesichts des vollständigen Fehlens von Erklärungen auf Beschwerdeebene festzustellen, dass es ihr nicht gelungen ist, das Vorliegen von subjektiven Nachfluchtgründen nachzuweisen oder zumindest glaubhaft zu machen, und infolgedessen von ihrer legalen Ausreise auszugehen ist.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Nach einer summarischen Prüfung der Akten haben sich die gestellten Rechtsbegehren nicht als aussichtslos erwiesen. Deswegen und aufgrund der ausgewiesenen prozessualen Bedürftigkeit der Beschwerdeführerin ist das Gesuch um Gewährung der unentgeltlichen Rechtspflege gemäss Art. 65 Abs. 1 VwVG gutzuheissen. Folglich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