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E-4792/2017 vom 18. September 2017</w:t>
      </w:r>
    </w:p>
    <w:p>
      <w:r>
        <w:t>Bundesverwaltungsgericht, 2017-09-18, DE</w:t>
      </w:r>
    </w:p>
    <w:p>
      <w:r>
        <w:rPr>
          <w:b/>
        </w:rPr>
        <w:t xml:space="preserve">Quelle: </w:t>
      </w:r>
      <w:r>
        <w:t>https://mcp.opencaselaw.ch/entscheid/bvger_E-4792_2017</w:t>
      </w:r>
    </w:p>
    <w:p>
      <w:r>
        <w:t>FR: TAF E-4792/2017 du 18 septembre 2017</w:t>
      </w:r>
    </w:p>
    <w:p>
      <w:r>
        <w:t>IT: TAF E-4792/2017 del 18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Anlass zur Gewährung der beantragten 30-tägigen Frist für die Nachreichung weiterer Beweismittel besteht nicht (vgl. dazu E. 6.1 [letzter Abschnitt] unten). Das Verfahren ist spruchreif.</w:t>
      </w:r>
    </w:p>
    <w:p>
      <w:r>
        <w:rPr>
          <w:b/>
        </w:rPr>
        <w:t>E. 1.4</w:t>
      </w:r>
    </w:p>
    <w:p>
      <w:r>
        <w:t>Mit dem vorliegenden, instruktionslos ergehenden Direktentscheid in der Sache wird das Gesuch um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die Vorinstanz die Verfolgungsvorbringen als den Anforderungen von Art. 3 AsylG an die flüchtlingsrechtliche Beachtlichkeit nicht genügend. So sei die geltend gemachte, äusserst bedauerliche Entführung und Misshandlung durch mutmassliche sri-lankische Sicherheitskräfte im Auftrag extremistischer buddhistischer Organisationen vor dem Hintergrund der aktuellen Lage in Sri Lanka als abgeschlossene Verfolgung zu betrachten. Das Asylrecht diene nicht dazu, erlittenes Unrecht zu korrigieren. Nach dem Regierungswechsel im Januar 2015 habe die neue Regierung ein Rechtssetzungsprojekt betreffend die Strafbarkeit von Aufrufen zum Hass von Personen oder Gruppen aufgrund ihrer ethnischen Abstammung oder Religion gutgeheissen, mit dem Ziel, strafbare Handlungen gegen religiöse Minderheiten zu bekämpfen. So sei beispielsweise der Führer der Gruppe Bodu Bala Sena festgenommen worden. Heute habe der Beschwerdeführer mit hoher Wahrscheinlichkeit nicht mit erneuter Verfolgung durch solche Gruppen zu rechnen. Bei den geltend gemachten Nachteilen handle es sich zudem um lokal oder regional beschränkte Verfolgungsmassnahmen, denen er sich durch Wegzug beispielsweise an seinen früheren zwischenzeitlichen Arbeitsort Colombo hätte entziehen können. Auch unter dem Aspekt der im Referenzurteil des Bundesverwaltungsgerichts E-1866/2015 vom 15. Juli 2016 erwähnten Risikofaktoren sei keine begründete Furcht des Beschwerdeführers vor künftigen Verfolgungsmassnahmen auszumachen, zumal seine Asylgründe in keinem Zusammenhang mit den LTTE (Liberation Tigers of Tamil Eelam) oder anderweitigen tamilischen Separatismusbestrebungen stünden. Die Anforderungen an die Flüchtlingseigenschaft und an die Asylgewährung seien daher nicht erfüllt und es könne darauf verzichtet werden, Unglaubhaftigkeitselemente in den Vorbringen zu erörtern. Die gesetzliche Regelfolge der Ablehnung des Asylgesuchs sei die Wegweisung. Der Vollzug der Wegweisung nach Sri Lanka sei - unter dem Aspekt von Art. 5 Abs. 1 AsylG, Art. 3 EMRK, Art. 3 FK und der Praxis des Europäischen Gerichtshofs für Menschenrechte (EGMR) - angesichts der fehlenden Flüchtlingseigenschaft, unter Berücksichtigung der aktuellen Menschenrechtssituation in Sri Lanka und mangels anderweitiger gegenteiliger Anhaltspunkte völkerrechtlich zulässig. Er sei sodann unter Berücksichtigung von BVGE 2011/24 und der vorliegend vollzugsbegünstigenden individuellen Umstände (insb. gut funktionierendes familiäres und verwandtschaftliches Beziehungsnetz, gesicherte Wohnsituation, Alter, Arbeitserfahrung, Fähigkeit zum Aufbau einer wirtschaftlichen Existenz) zumutbar und im Übrigen technisch möglich und praktisch durchführbar.</w:t>
      </w:r>
    </w:p>
    <w:p>
      <w:r>
        <w:rPr>
          <w:b/>
        </w:rPr>
        <w:t>E. 5.2</w:t>
      </w:r>
    </w:p>
    <w:p>
      <w:r>
        <w:t>In der Beschwerde bekräftigt und präzisiert der Beschwerdeführer den geltend gemachten Verfolgungssachverhalt und stellt klar, dass seine Festnahme im Dezember 2013 und die in diesem Zusammenhang erlittenen Nachteile eine persönliche und genügend intensive Verfolgung aus politischen Gründen darstellten, auch wenn die Ausreise erst über ein Jahr später erfolgt sei. Die Intensität der Verfolgung habe mit seiner erfolgreichen Vertreibung aus seiner Herkunftsregion zwar nachgelassen, sei aber auch nach dem Regierungswechsel im Frühjahr 2015 noch genügend intensiv gewesen, zumal er sich genötigt gesehen habe, sein Geschäft aufzugeben und sich in Colombo versteckt zu halten, bis die Ausreise mit einem gefälschten Pass habe bewerkstelligt werden können. Die Behauptung des SEM, er hätte gegen seine Entführer und Peiniger Strafanzeige einreichen können und müssen, ändere an seiner Verfolgungslage nichts. Berichten zufolge sei auch die neue Regierung bis heute weitgehend nicht in der Lage oder willens, muslimische Bürger vor Übergriffen insbesondere durch die BBS-Sekte zu schützen. Noch immer lebten wichtige Führer dieser Gruppe auf freiem Fuss und verhaftete Exponenten seien durch nachgewachsene neue Köpfe abgelöst worden. Weiter sei dem vorinstanzlichen Einwand einer bloss regional begrenzten Verfolgungslage zu widersprechen, weil davon auszugehen sei, dass die beiden extremistischen buddhistischen Gruppen mit den Sicherheitskräften des Landes vernetzt geblieben seien und über gute Kontakte verfügten, um Gegner auch überregional aufzuspüren. Das SEM habe seine Gefährdungslage vom Frühjahr 2015 somit falsch eingeschätzt und verharmlost. Die politisch motivierte Verfolgungslage der Muslime in Sri Lanka und seine persönliche Gefährdungssituation würden denn auch aus den nunmehr vorlegbaren Beweismitteln hervorgehen. Weiter lasse der angefochtene Entscheid zu Unrecht durchblicken, dass seine Verfolgungsvorbringen nicht glaubhaft seien. Zwar sei es effektiv zu Widersprüchen und weiteren Ungereimtheiten gekommen. Diese seien aber auf Übersetzungsmängel und Missverständnisse zurückzuführen und würden durch die vorgelegten Beweismittel entkräftet. Er sei bemüht, weitere Beweismittel beispielsweise in Form von Zeugenberichten und Bestätigungen betreffend seine Verfolgungslage erhältlich zu machen, wofür ihm eine 30-tägige Frist einzuräumen sei. Aufgrund seiner somit erstellten Verfolgungslage und der verurteilenswürdigen Moslem-Politik Sri Lankas habe er Anspruch auf Gewährung des Asyls unter Feststellung seiner Flüchtlingseigenschaft, zumindest aber auf Gewährung der vorläufigen Aufnahme unter Feststellung der Unzumutbarkeit des Wegweisungsvollzuges. Als Beweismittel gab der Beschwerdeführer Foto-Kopien zweier Bestätigungsschreiben verschiedener sri-lankischer Rechtsanwälte, eines Bestätigungsschreibens eines Postministers und eines Bestätigungsschreibens seiner Ehefrau sowie fünf Internetmedienberichte betreffend die Situation der Muslime in Sri Lanka zu den Akten. Die Originaldokumente würden innerhalb der anzusetzenden 30-tägigen Frist ebenfalls nachgereicht.</w:t>
      </w:r>
    </w:p>
    <w:p>
      <w:r>
        <w:rPr>
          <w:b/>
        </w:rPr>
        <w:t>E. 6.1</w:t>
      </w:r>
    </w:p>
    <w:p>
      <w:r>
        <w:t>Das SEM ist in seinen umfassenden Erwägungen mit überzeugender, gesetzes- und praxiskonformer Begründung zur zutreffenden Erkenntnis gelangt, die Vorbringen des Beschwerdeführers würden den Anforderungen von Art. 3 AsylG an die flüchtlingsrechtliche Beachtlichkeit nicht genügen, weshalb er keinen Anspruch auf Zuerkennung der Flüchtlingseigenschaft und auf Gewährung des Asyls habe. Diese Erwägungen sind nicht zu beanstanden und es kann zur Vermeidung von Wiederholungen auf sie verwiesen werden. Der Inhalt der Beschwerde drängt keine andere Betrachtungsweise auf. Klarzustellen ist vorab, dass das SEM trotz augenfälliger Ungereimtheiten in den protokollierten Aussagen (vgl. dazu insb. das Aktenstück A12 ab F92 bis F127, ferner die gänzlich unplausiblen Ausreiseumstände) keine Prüfung der Glaubhaftigkeit der Verfolgungsvorbringen unter dem Aspekt von Art. 7 AsylG vorgenommen hat (vgl. angefochtene Verfügung E. II/5). Vielmehr hat es sich unter Annahme einer hypothetischen Glaubhaftigkeit auf die Prüfung der flüchtlingsrechtlichen Beachtlichkeit der Asylgründe nach Art. 3 AsylG und der hierzu entwickelten Praxis beschränkt. Dieses Vorgehen ist unter dem Aspekt der Rechtslogik nicht zu beanstanden. Die in der Beschwerde (dort Begründung insb. Art. 3) geäusserte Behauptung, das SEM lasse im angefochtenen Entscheid oberflächlich die Unglaubhaftigkeit der Verfolgungsgeschichte durchblicken, kann nicht nachvollzogen werden, weshalb auch auf die betreffenden Erklärungsversuche (Übersetzungsmängel, Missverständnisse usw.) nicht einzugehen ist. Aktenwidrig ist ebenso die Behauptung des Beschwerdeführers, das SEM habe ihm im angefochtenen Entscheid vorgeworfen, er hätte gegen seine Widersacher Strafanzeige einreichen können und müssen. Eine solche Erwägung erschiene zwar aus Sicht des Bundesverwaltungsgerichts vorliegend durchaus angebracht, ist aber aus der Verfügung nicht zu entnehmen. Erstaunen erweckt weiter das in der Beschwerde mehrfach bekräftigte politische Motiv der angeblichen Verfolgung. Das Motiv ist vielmehr ein religiöses oder allenfalls noch ein ethnisches, wogegen der Beschwerdeführer im erstinstanzlichen Verfahren nie einen politischen Hintergrund der ihm behauptungsgemäss widerfahrenen Benachteiligungen und Befürchtungen erwähnte. Ein solcher kommt nun erstmals in der Beschwerde ins Spiel, indem er auf S. 3 seine "Beziehungen zur UNP" (United National Party) erwähnt und in sämtlichen vier eingereichten Bestätigungsschreiben von einem politischen Aktivismus insbesondere für diese Partei und einer Verfolgung durch die politischen Gegner die Rede ist. Diese Darstellungen widersprechen eindeutig den vorinstanzlichen Akten und insbesondere den beiden Befragungsprotokollen, gemäss welchen ein politisches Engagement noch kategorisch in Abrede gestellt wurde und einzig ein punktuelles Engagement zugunsten der muslimischen Bevölkerung in seinem Heimatdorf im Jahre 2013 gegen das Auftreten extremistischer buddhistischer Gruppen zur Sprache kam (vgl. z.B. A3 Ziff. 7.02 und A12 F115). Die vermeintliche Klarstellung des Beschwerdeführers, dass seine Festnahme im Dezember 2013 und die in diesem Zusammenhang erlittenen Nachteile eine durchaus genügend intensive Verfolgung darstellten, zielt an den Erwägungen des SEM vorbei. Dieses hat in der angefochtenen Verfügung die Intensitätsfrage der Festnahme und nachfolgenden Festhaltung mit Misshandlungen gar nicht aufgeworfen und jedenfalls nicht zu Ungunsten des Beschwerdeführers beantwortet; im Gegenteil hat es gar sein Bedauern darüber geäussert. Die Stossrichtung des SEM lag vielmehr zutreffend in der Feststellung einer diesbezüglich abgeschlossenen Verfolgung. Tatsächlich kann den damaligen Vorfällen kein kausaler Zusammenhang in sachlicher und zeitlicher Hinsicht mit der über ein Jahr später erfolgten Ausreise entnommen werden. Weiter ist das SEM in seiner Erkenntnis zu bestätigen, dass dem Beschwerdeführer zumutbare innerstaatliche Ausweichmöglichkeiten zur Verfügung standen, zumal die Ursache der behaupteten Verfolgungslage in der Tatsache des Landbesitzes in der Umgebung (...) lag. Ob der Beschwerdeführer während seines angeblich stets versteckten Aufenthaltes in Colombo subjektiv tatsächlich Furcht vor weiteren Benachteiligungen gehabt haben mag, kann deshalb dahingestellten bleiben, weil sich eine solche Furcht objektiv nicht nachvollziehen lässt. Immerhin war die Vertreibungsabsicht der extremistischen Buddhisten mit dem Wegzug des Beschwerdeführers erfolgreich und der Beschwerdeführer wurde auch nicht behördlich gesucht, offenbar nicht einmal wegen seines tätlichen Angriffs auf einen singhalesischen Nachbarn. Damit stellt sich gleichsam die Frage, weshalb der Beschwerdeführer überhaupt mit einem gefälschten Pass ausgereist sein soll. Darüber hinaus müsste er sich mit dem Passieren der Grenzkontrolle gar in erhebliche Gefahr gebracht haben, da er nicht einmal gewusst habe, auf welche Personalien der vom Schlepper erhaltene Reisepass gelautet habe. Mit dem SEM ist auch festzuhalten, dass der sri-lankische Staat gegen Machenschaften und Übergriffe der vorgebrachten Art auf tamilische Muslime durch extremistische Buddhisten durchaus schutzfähig und -willig ist, wenn er davon Kenntnis (beispielsweise durch Anzeige) erhält (vgl. dazu auch das Urteil des BVGer E-6369/2015 vom 11. Mai 2017 [E. 6.3] und die bereits in der angefochtenen Verfügung erwähnten Urteile aus dem Jahre 2016 D-947/2016 [E. 6.1.2] und E-1078/2016 [E. 3.2]). Die eingereichten Internetberichte begründen hierzu keine grundsätzlich andere Sichtweise. Der Beschwerdeführer selber räumt zudem ein, dass die Buddhisten das Enteignungsvorhaben auf legalem Weg nicht hätten umsetzen können. Der Beschwerdeführer stellt in der Beschwerde weitere Beweismittel beispielsweise in Form von Zeugenberichten und Bestätigungen betreffend seine Verfolgungslage in Aussicht, wofür ihm eine 30-tägige Frist einzuräumen sei. Die Beweismittel sind jedoch nicht abzuwarten und Anlass für eine Fristgewährung besteht nicht. Der Beschwerdeführer unterliegt seit Einreichung seines Asylgesuchs vor zweieinhalb Jahren einer weitreichenden und ihm hinlänglich zur Kenntnis gebrachten Mitwirkungspflicht nach Art. 8 AsylG. Diese Bestimmung enthält in Abs. 1 Bst. d insbesondere die Verpflichtung, allfällige Beweismittel vollständig zu bezeichnen und unverzüglich einzureichen oder sich zumindest darum zu bemühen. Die in Aussicht gestellten Beweismittel sind jedoch nicht näher bezeichnet und es ist vor allem nicht einzusehen, wieso deren Beschaffung erst jetzt in die Wege geleitet werden sollte. Auch die Originale der einstweilen als Foto-Kopien (vermutlich Handy-Fotos) vorgelegten Bestätigungsschreiben sind nicht abzuwarten, da ihr Beweiswert und ihre Beweistauglichkeit vernachlässigbar sind. Die zwei Bestätigungsschreiben verschiedener sri-lankischer Rechtsanwälte - der eine zudem Minister für höhere Bildung und Autobahnen - sind inhaltlich identisch. Es ist kaum vorstellbar, dass zwei voneinander unabhängige Personen noch dazu in ihren spezifischen Funktionsbekleidungen genau dasselbe im gleichen Wortlaut bestätigen. Auch das Bestätigungsschreibens eines Postministers (gleichzeitig Ministers für muslimisch-religiöse Angelegenheiten) sowie jenes der Ehefrau des Beschwerdeführers enthalten über weite Teile identische Wortlaute. Darüber hinaus erstaunt es sehr, dass staatliche Minister von einer Rückkehr nach Sri Lanka wegen einer politischen Verfolgung abraten und damit implizit eine staatliche Machtlosigkeit einräumen und sich selber diskreditieren. Schon weiter oben wurde im Übrigen die Darstellung des Beschwerdeführers als Politaktivist der UNP als klar den Protokollen widersprechend erkannt. Die Würdigung dieser Dokumente ist somit bereits inhaltlich und damit ohne Notwendigkeit des Vorliegens der Originale möglich und fällt klar zu Ungunsten des Beschwerdeführers aus. Im Übrigen besteht für das Gericht keine Veranlassung, auf "entsprechende Informationen des EDA" (vgl. Beschwerde S. 7) zurückzugreifen, die der Beschwerdeführer quellenmässig gar nicht zu spezifizieren in der Lage ist.</w:t>
      </w:r>
    </w:p>
    <w:p>
      <w:r>
        <w:rPr>
          <w:b/>
        </w:rPr>
        <w:t>E. 6.2</w:t>
      </w:r>
    </w:p>
    <w:p>
      <w:r>
        <w:t>Zusammenfassend ist festzustellen, dass der Beschwerdeführer keine Gründe im Sinne von Art. 3 AsylG nachweisen oder glaubhaft machen konnte. Das SEM hat das Bestehen einer Verfolgungssituation des Beschwerdeführers, dessen Flüchtlingseigenschaft und den behauptungsgemässen Anspruch auf Gewährung des Asyls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Voraussetzungen sind vorliegend unter integralem Hinweis auf die ausführlichen und praxisgestützten Erwägungen in der angefochtenen Verfügung (vgl. dort E. III) offensichtlich nicht erfüllt. Die Beschwerde belässt diese vorinstanzlichen Erkenntnisse substanziell weitgehend unbestritten. Der Beschwerdeführer stützt seine gegenteilige Auffassung im Wesentlichen wiederum auf seine behauptungsgemässe flüchtlingsrechtliche Verfolgungslage. Diese wurde jedoch in E. 6 abschlägig gewürdigt. Weitere Ausführungen erübrigen sich somit.</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deren Inhalt sowie die vorgelegten Beweismittel weiter einzugehen.</w:t>
      </w:r>
    </w:p>
    <w:p>
      <w:r>
        <w:rPr>
          <w:b/>
        </w:rPr>
        <w:t>E. 10.1</w:t>
      </w:r>
    </w:p>
    <w:p>
      <w:r>
        <w:t>Bei diesem Ausgang des Verfahrens wären die Kosten dem Beschwerdeführer aufzuerlegen (Art. 63 Abs. 1 VwVG). Jedoch ist das Gesuch um Verzicht auf die Erhebung von Verfahrenskosten nach Art. 65Abs. 1 VwVG unter Berücksichtigung der Nichtaussichtslosigkeit der Beschwerde und der ausgewiesenen Mittellosigkeit des Beschwerdeführers gutzuheissen. Auf die Erhebung von Verfahrenskosten ist daher zu verzichten.</w:t>
      </w:r>
    </w:p>
    <w:p>
      <w:r>
        <w:rPr>
          <w:b/>
        </w:rPr>
        <w:t>E. 10.2</w:t>
      </w:r>
    </w:p>
    <w:p>
      <w:r>
        <w:t>Dies hat zur Folge, dass gleichsam das Gesuch um unentgeltliche Beiordnung des rubrizierten Rechtsvertreters - dieses ist vorliegend nicht nach Art. 65 Abs. 2 VwVG zu beurteilen (vgl. Beschwerde Ziff. II/3), sondern nach Art. 110a Abs. 1 Bst. a AsylG - gutzuheissen ist. Der rubrizierte Rechtsvertreter ist daher dem Beschwerdeführer als amtlicher Rechtsbeistand beizuordnen und für seinen Aufwand zu entschädigen. Dieser unterlässt es, eine Kostennote zu präsentieren, weshalb das Bundesverwaltungsgericht die Entschädigung von Amtes wegen festsetzt. Unter Berücksichtigung des Umstandes, dass bei amtlicher Vertretung in der Regel von einem Stundenansatz von Fr. 200.- bis Fr. 220.- für Anwälte auszugehen ist (vgl. Art. 12 i.V.m Art. 10 Abs. 2 des Reglements vom 21. Februar 2008 über die Kosten und Entschädigungen vor dem Bundesverwaltungsgericht [VGKE, SR 173.320.2]), ist dem Rechtsbeistand vom Bundesverwaltungsgericht ein Gesamtbetrag von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