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E-4790/2015 vom 5. Juli 2017</w:t>
      </w:r>
    </w:p>
    <w:p>
      <w:r>
        <w:t>Bundesverwaltungsgericht, 2017-07-05, DE</w:t>
      </w:r>
    </w:p>
    <w:p>
      <w:r>
        <w:rPr>
          <w:b/>
        </w:rPr>
        <w:t xml:space="preserve">Quelle: </w:t>
      </w:r>
      <w:r>
        <w:t>https://mcp.opencaselaw.ch/entscheid/bvger_E-4790_2015</w:t>
      </w:r>
    </w:p>
    <w:p>
      <w:r>
        <w:t>FR: TAF E-4790/2015 du 5 juillet 2017</w:t>
      </w:r>
    </w:p>
    <w:p>
      <w:r>
        <w:t>IT: TAF E-4790/2015 del 5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(vorgesehen zur Publikation als Referenzurteil)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Urteil D-7853/2015 vom 31. Mai 2017 E. 13).</w:t>
      </w:r>
    </w:p>
    <w:p>
      <w:r>
        <w:rPr>
          <w:b/>
        </w:rPr>
        <w:t>E. 4.2</w:t>
      </w:r>
    </w:p>
    <w:p>
      <w:r>
        <w:t>Aus denselben Gründen ist es dem Gericht auch vorliegend nicht möglich, die sich im Zusammenhang mit einer Überstellung des Beschwerdeführers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 und die Angelegenheit ist zur Abklärung im Sinne der Erwägungen und neuer Entscheidung an die Vorinstanz zurückzuweisen.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erwachsenen Parteikosten zuzusprechen. Nur der notwendige Aufwand ist zu entschädigen (vgl. Art. 8 Abs. 2 VGKE). Der Rechtsvertreter reichte eine Kostennote von insgesamt Fr 645.- ein. Dieser Aufwand erscheint angemessen. Das SEM ist aufzufordern, dem Beschwerdeführer eine Parteientschädigung in diesem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