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E-4787/2018 vom 5. September 2018</w:t>
      </w:r>
    </w:p>
    <w:p>
      <w:r>
        <w:t>Bundesverwaltungsgericht, 2018-09-05, DE</w:t>
      </w:r>
    </w:p>
    <w:p>
      <w:r>
        <w:rPr>
          <w:b/>
        </w:rPr>
        <w:t xml:space="preserve">Quelle: </w:t>
      </w:r>
      <w:r>
        <w:t>https://mcp.opencaselaw.ch/entscheid/bvger_E-4787_2018</w:t>
      </w:r>
    </w:p>
    <w:p>
      <w:r>
        <w:t>FR: TAF E-4787/2018 du 5 septembre 2018</w:t>
      </w:r>
    </w:p>
    <w:p>
      <w:r>
        <w:t>IT: TAF E-4787/2018 del 5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brachte die Vor- instanz vor, die Schilderungen des Beschwerdeführers würden allgemein viele Ungereimtheiten enthalten. So habe er beispielsweise in Bezug auf die Beendigung der (...) erwähnt, dass er in dem Monat mit der Tätigkeit aufgehört habe, als er ausgereist sei. Er habe lediglich noch zwei Nächte in D._______ verbracht, bevor er das Land verlassen habe. Andererseits habe er vorgebracht, er habe sich vor der Ausreise noch eine längere Zeit bei einem Mann versteckt. Damit habe er widersprüchliche Aussagen zu den Umständen direkt vor der Ausreise gemacht. Seine Aussagen liessen darauf schliessen, dass er sich nach dem Ereignis an (...) in D._______ versteckt gehalten und dann das Land verlassen habe. Andererseits erwähne er weiter, dass ihm nach den Vorfällen an (...) zwar nichts geschehen sei, er aber gezwungen worden sei, die Arbeit weiterzuführen. Auch die Angaben dazu, mit wie vielen Personen er auserwählt worden sei, als (...) zu arbeiten, wie viel er verdient habe und wie lange die anfängliche Ausbildung gedauert habe, seien widersprüchlich. Damit entstünden erste erhebliche Zweifel daran, ob seine Ausführungen in Bezug auf die (...) glaubhaft seien. Seine Antworten zu seiner Rekrutierung, zum Erhalt der Aufträge und zu deren Ausführung, zu seinen konkreten Aufgaben, zum Inhalt der Kurse und zu den einzelnen Vorfällen während dieser Tätigkeit seien allgemein und oberflächlich sowie teilweise ausweichend geblieben. Es sei nicht der Eindruck entstanden, als ob er als (...) tätig gewesen sei. Im Sinne einer Gesamtwürdigung sei deshalb festzuhalten, dass er mit seinen Aussagen den geltend gemachten Sachverhalt nicht habe glaubhaft machen können. Im Übrigen bestünden Zweifel an seiner geltend gemachten Biografie. Es sei nicht in der Lage gewesen, konsistente Angaben in Bezug darauf zu machen, wann er (...) das letzte Mal gesehen habe. So habe er in der BzP erwähnt, er sei zu diesem Zeitpunkt in der dritten Klasse gewesen. Anlässlich der Anhörung habe er geschildert, dass er ungefähr fünf oder sechs Jahr alt gewesen sei, als (...) weggegangen sei. Da er erwähnt habe, mit ungefähr sechs Jahren eingeschult worden zu sein, lasse sich daraus folgern, dass er in der dritten Klasse ungefähr neun Jahre alt hätte sein müssen. Auch in Bezug auf die Schulbildung habe er unterschiedliche Angaben gemacht. Anlässlich der BzP sei er in der Lage gewesen, anzugeben, die achte Klasse (...) abgebrochen zu haben und während der siebten und achten Klasse die Abendschule besucht zu haben. Anlässlich der Anhörung habe er hingegen erwähnt, erst in der achten Klasse in die Abendschule gewechselt zu haben. Einerseits habe er nicht gewusst, wann er diese schliesslich abgebrochen habe, andererseits habe er angegeben, zu diesem Zeitpunkt 17 oder 18 Jahre alt gewesen zu sein. Als er Äthiopien im (...) verlassen habe sei er (...)-jährig gewesen. Die (...) habe er im Alter von (...) Jahren begonnen. Er habe seine Biografie aufgrund dieser Widersprüche nicht glaubhaft machen können. Es entstehe der Verdacht auf Verschleierung, zumal er auch zum Verbleib seiner Dokumente unterschiedliche Angaben gemacht habe. Zur exilpolitischen Tätigkeit und der geltend gemachten Teilnahme an der Demonstration in E._______, welche von der (...) organisiert worden sei, sei anzumerken, dass er sich in Äthiopien nie politisch engagiert habe. Es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Zudem könnten den Akten keine Hinweise darauf entnommen werden, dass die äthiopischen Behörden von seiner exilpolitischen Tätigkeit überhaupt Kenntnis genommen oder gar gestützt darauf irgendwelche Massnahmen zu seinem Nachteil eingeleitet hätten. Die subjektiven Nachfluchtgründe würden daher den Anforderungen der Flüchtlingseigenschaft gemäss Art. 3 AsylG nicht standhalten.</w:t>
      </w:r>
    </w:p>
    <w:p>
      <w:r>
        <w:rPr>
          <w:b/>
        </w:rPr>
        <w:t>E. 6.2</w:t>
      </w:r>
    </w:p>
    <w:p>
      <w:r>
        <w:t>Auf Beschwerdeebene machte der Beschwerdeführer geltend, anlässlich seiner ergänzenden Anhörung sei er stark gestresst gewesen, weshalb er nicht gut geantwortet habe. Wenn er in seinen Heimatstaat zurückkehren würde, wäre sein Leben gefährdet, da der Staat aufgrund der Probleme mit all den verschiedenen Ethnien instabil und gefährlich sei.</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7.2</w:t>
      </w:r>
    </w:p>
    <w:p>
      <w:r>
        <w:t>Der Beschwerdeführer macht im Wesentlichen geltend, als (...) tätig gewesen zu sein. Die Auffassung der Vorinstanz, wonach seine diesbezüglichen Aussagen nicht glaubhaft ausgefallen sind, ist vollumfänglich zu teilen. Um Wiederholungen zu vermeiden, wird folglich auf die Ausführungen der Vorinstanz (vgl. E. 6.1) verwiesen. Der Beschwerdeführer hat sich - wie von der Vorinstanz detailliert dargelegt - insbesondere bezüglich des Beginns und der Beendigung seiner (...) widersprochen. Die Unregelmässigkeiten betreffend des Schulabbruchs sind zwar ein Stück weit mit dem unterschiedlichen (gregorianischen und äthiopischen) Kalendersystem begründbar. Auch unter Berücksichtigung dieser Schwierigkeit, sind die Widersprüche im Endeffekt jedoch so gravierend, dass sie nicht unbeachtet bleiben können. Zudem widerspricht er sich auch, wenn er sein Alter anstatt Jahreszahlen angibt, um relevante Zeitpunkte zu umschreiben. So habe er seinen Kebele Ausweis im Alter von (...) Jahren erhalten, als er die Tätigkeit (...) aufgenommen habe (vgl. A17/20, F42, 44). Anderenorts gibt er an, die Tätigkeit erst mit (...) Jahren aufgenommen zu haben (vgl. A17/20, F139). Auch bezüglich der Rekrutierung macht er unterschiedliche Angaben. Einerseits seien die (...) bereits vor seiner Tätigkeit bei der (...) auf ihn zugekommen, andererseits hätten sie ihn erst anlässlich eines (...) angesprochen (vgl. A3/13, F7.01, S. 8/10, A17/20, F131). Die Divergenzen bezüglich Lohn, Anzahl gleichzeitig rekrutierter Kollegen, Dauer der anfänglichen Ausbildung und dem Verbleib seiner Dokumente (vgl. angefochtene Verfügung der Vorinstanz, S. 4 Ziff. 1.1 a und 1.2 b) untermauern die Unglaubhaftigkeit seiner Aussagen. Die Schlussfolgerungen der Vorinstanz in Bezug auf die Biografie sind ebenfalls nachvollziehbar. Die Angaben des Beschwerdeführers zum Weggang (...) sind widersprüchlich. Die angegebenen Zeitpunkte variieren um drei Jahre, obwohl er von seinem Alter und der Klasse, welche er zu diesem Zeitpunkt besucht haben soll, spricht und somit nicht davon auszugehen ist, dass er sich bei der Angabe oder Umrechnung der Jahreszahl vom äthiopischen in den gregorianischen Kalender verrechnet haben könnte. Auch dass er in der 7. Klasse (...)-jährig gewesen sein soll (vgl. A17/20, F91), stimmt mit der Angabe, dass er im Alter von sechs Jahren eingeschult worden sei (A17/20, F86), nicht überein. Seine schulische Laufbahn und Biografie kann folglich nicht schlüssig eruiert werden.</w:t>
      </w:r>
    </w:p>
    <w:p>
      <w:r>
        <w:rPr>
          <w:b/>
        </w:rPr>
        <w:t>E. 7.3</w:t>
      </w:r>
    </w:p>
    <w:p>
      <w:r>
        <w:t>Wer sich darauf beruft, dass durch sein Verhalten nach der Ausreise aus dem Heimat- oder Herkunftsstaat - etwa durch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7.3.1</w:t>
      </w:r>
    </w:p>
    <w:p>
      <w:r>
        <w:t>Die in Äthiopien allgemein herrschende politische und menschenrechtliche Situation ist trotz neuem Ministerpräsidenten seit März 2018 weiterhin als schwierig zu bezeichnen, weshalb davon ausgegangen werden muss, dass die Sicherheitsorgane eine aus dem Ausland zurückgeführte Person, die Anhänger oder Mitglied einer regimekritischen Organisation war oder noch ist, auch heute als Gegner der Regierung ansehen würden. Indes dürften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D-860/2016 E. 4.6.1, E. 4.6.3, E. 4.7.1 m.w.H.).</w:t>
      </w:r>
    </w:p>
    <w:p>
      <w:r>
        <w:rPr>
          <w:b/>
        </w:rPr>
        <w:t>E. 7.3.2</w:t>
      </w:r>
    </w:p>
    <w:p>
      <w:r>
        <w:t>Im Zusammenhang mit exilpolitischen Aktivitäten brachte der Beschwerdeführer in seiner Beschwerde nichts Neues vor. Folglich ist davon auszugehen, dass er in der Schweiz nur einmal an einer Demonstration in E._______ teilgenommen hat, wobei er sich lediglich den anderen angeschlossen und deren Slogans in die Hand genommen habe (vgl. A17/20, F24 f.). Dies wurde durch die eingereichten Fotos untermauert. Aufgrund dessen kann eine besondere Exponierung innerhalb der exilpolitischen Bewegung ausgeschlossen werden. In Übereinstimmung mit der vorstehend aufgezeigten Rechtsprechung ist es demnach nicht wahrscheinlich, dass seitens der äthiopischen Behörden ein besonderes Interesse an seiner Person bestehen könnte.</w:t>
      </w:r>
    </w:p>
    <w:p>
      <w:r>
        <w:rPr>
          <w:b/>
        </w:rPr>
        <w:t>E. 7.3.3</w:t>
      </w:r>
    </w:p>
    <w:p>
      <w:r>
        <w:t>Die Befürchtung des Beschwerdeführers, aufgrund seines exilpolitischen Engagements bei einer Rückkehr nach Äthiopien asylrelevanten Nachteilen ausgesetzt zu werden, erweist sich demnach als unbegründet.</w:t>
      </w:r>
    </w:p>
    <w:p>
      <w:r>
        <w:rPr>
          <w:b/>
        </w:rPr>
        <w:t>E. 8</w:t>
      </w:r>
    </w:p>
    <w:p>
      <w:r>
        <w:t>Zusammenfassend ist festzustellen, dass die Vorinstanz zu Recht das Vorliegen von Vor- und Nachfluchtgründen verneint, dem Beschwerdeführer die Flüchtlingseigenschaft nicht zuerkannt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Die Vorinstanz führte in der angefochtenen Verfügung aus, dass in Äthiopien weder Krieg noch Bürgerkrieg noch eine Situation der allgemeinen Gewalt im Sinne von Art. 83 Abs. 4 AuG herrsche. Ende März 2018 kürte das Parlament mit Abiy Ahmed erstmals einen Oromo zum Ministerpräsidenten, was bei vielen Äthiopiern Hoffnung auf eine Stabilisierung der innenpolitischen Verhältnisse wecken soll (vgl. Neue Zürcher Zeitung [NZZ]: Äthiopien wird erstmals von einem Vertreter der grössten Ethnie geführt, 29. März 2018, https://www.nzz.ch/international/aethiopien-wird-erstmals-von-einem-vertreter-der-groessten-ethnie-gefuehrt-ld.1370325?reduced=true, abgerufen am 31. August 2018). Der im Februar 2018 erneut ausgerufene Ausnahmezustand (vgl. Human Rights Watch [HRW], Ethiopia: New State of Emergency Risks Renewed Abuses, 23. Februar 2018, https://www.hrw.org/news/2018/02/23/ethiopia-new-state-emergency-risks-renewed-abuses, abgerufen am 31. August 2018) wurde Anfang Juni 2018 vorzeitig wieder beendet (vgl. FBC: https://ethsat.com/2018/06/ethiopia-lifts-state-of-emergency/, abgerufen am 31. August 2018). Unter den neuen Ministerpräsidenten wurden nun auch Reformen in aufsehenerregender Geschwindigkeit beschlossen und umgesetzt (vgl. NZZ, Der neue Ministerpräsident sorgt für frischen Wind in Addis Abeba, 6. Juni 2018, https://www.nzz.ch/international/tauwetter-in-aethiopien-ld.1392179, abgerufen am 31. August 2018). Den vorläufigen Schlusspunkt dieser Entwicklung stellte das Friedensabkommen zwischen den jahrzehntelangen Rivalen Äthiopien und Eritrea vom 9. Juli 2018 dar (vgl. NZZ, Äthiopien und Eritrea schliessen Frieden, 9. Juli 2018, https://www.nzz.ch/international/aethiopien-und-eritrea-schliessen-frieden-ld.1401951, abgerufen am 31. August 2018). Somit ist die vorherrschende Situation weder durch Bürgerkrieg noch allgemeine Gewalt gekennzeichnet, so dass der Vollzug der Wegweisung dorthin grundsätzlich weiterhin zumutbar erscheint (vgl. weiterhin BVGE 2011/25 E. 8.3 m.w.H; Urteile des BVGer E-4104/2016 vom 27. April 2018 E. 9.3). Die Lebensbedingungen sind allerdings relativ prekär, weshalb zur Existenzsicherung genügend finanzielle Mittel, berufliche Fähigkeiten sowie ein intaktes Beziehungsnetz erforderlich sind (vgl. BVGE 2011/25 E. 8.4).</w:t>
      </w:r>
    </w:p>
    <w:p>
      <w:r>
        <w:rPr>
          <w:b/>
        </w:rPr>
        <w:t>E. 10.4.2</w:t>
      </w:r>
    </w:p>
    <w:p>
      <w:r>
        <w:t>Der Beschwerdeführer macht geltend, dass er seit seiner Kindheit keinen Kontakt mehr zu (...) habe und (...), bei welcher er gewohnt habe, verstorben sei. Durch die erlittenen Misshandlungen durch (...), leide er noch immer an Schmerzen im Hals- und Kopfbereich.</w:t>
      </w:r>
    </w:p>
    <w:p>
      <w:r>
        <w:rPr>
          <w:b/>
        </w:rPr>
        <w:t>E. 10.4.3</w:t>
      </w:r>
    </w:p>
    <w:p>
      <w:r>
        <w:t>Die Vorinstanz führt diesbezüglich aus, es bleibe festzustellen, dass wie erläutert, anzunehmen sei, dass der Beschwerdeführer gewisse Punkte aus seiner Biografie zu verschleiern versuche. Sein Alter und sein familiäres Beziehungsnetz in Äthiopien stünden daher nicht zweifelsfrei fest. Dem SEM sei es demnach nicht möglich, sich in voller Kenntnis seiner tatsächlichen persönlichen und familiären Verhältnisse zur Zumutbarkeit des Wegweisungsvollzugs zu äussern, was jedoch für die Prüfung der Vollzugshindernisse grundsätzlich vorausgesetzt würde. Die Untersuchungspflicht des SEM finde jedoch nach Treu und Glauben ihre Grenzen an der Mitwirkungspflicht der asylsuchenden Person (Art. 8 AsylG), welche auch die Substanziierungslast trage. Es könne nicht Sache der Asylbehörden sein, nach allfälligen Wegweisungsvollzugshindernissen zu forschen, wenn die asylsuchende Person durch Nichtangabe rechtsgenüglichen Identitätspapiere eine vernünftige Prüfung verhindere. Bei pflichtwidriger Unterlassung der Mitwirkung an der Sachverhaltsfeststellung habe der Beschwerdeführer die Folgen der Beweislosigkeit zu tragen. Aufgrund dessen sei vermutungsweise davon auszugehen, dass keine individuellen Gründe auf eine konkrete Gefährdung im Falle einer Wegweisung nach Unbekannt hindeuten würden. Überdies würden seine geltend gemachten Schmerzen im Hals- und Kopfbereich die Zumutbarkeit des Wegweisungsvollzugs nicht derart tangieren, dass sie zur Unzumutbarkeit des Wegweisungsvollzugs führen könnten.</w:t>
      </w:r>
    </w:p>
    <w:p>
      <w:r>
        <w:rPr>
          <w:b/>
        </w:rPr>
        <w:t>E. 10.4.4</w:t>
      </w:r>
    </w:p>
    <w:p>
      <w:r>
        <w:t>In Übereinstimmung mit dem SEM geht das Bundesverwaltungsgericht davon aus, dass der Beschwerdeführer aufgrund des Alters, der Schuldbildung sowie der Arbeitserfahrung in der Lage sein wird, nach einer Rückkehr in den Heimatstaat eine Arbeitsstelle zu finden. 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(vgl. BVGE 2009/2 E. 9.3.2 m.w.H.). Bei den angegebenen Schmerzen im Hals- und Kopfbereich des Beschwerdeführers ist nicht von einer solchen Gefahr auszugehen, weshalb auch dies den Wegweisungsvollzug nicht unzumutbar erscheinen lässt.</w:t>
      </w:r>
    </w:p>
    <w:p>
      <w:r>
        <w:rPr>
          <w:b/>
        </w:rPr>
        <w:t>E. 10.4.5</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Angesichts des Umstands, wonach sich die Rechtsbegehren als aussichtslos erwiesen haben, ist das Gesuch um Gewährung der unentgeltlichen Rechtspflege im Sinne von Art. 65 Abs. 1 VwVG abzuweisen. Mangels Erfüllung der Voraussetzungen von Art. 65 Abs. 1 VwVG ist das Gesuch um amtliche Verbeiständung im Sinne von Art. 110a Abs. 1 Bst. a AsylG ebenfalls abzuweisen.</w:t>
      </w:r>
    </w:p>
    <w:p>
      <w:r>
        <w:rPr>
          <w:b/>
        </w:rPr>
        <w:t>E. 12.2</w:t>
      </w:r>
    </w:p>
    <w:p>
      <w:r>
        <w:t>Das Gesuch um Verzicht auf die Erhebung eines Kostenvorschusses wird mit dem vorliegenden Urteil gegenstandslos.</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