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E-4781/2017 vom 17. August 2018</w:t>
      </w:r>
    </w:p>
    <w:p>
      <w:r>
        <w:t>Bundesverwaltungsgericht, 2018-08-17, DE</w:t>
      </w:r>
    </w:p>
    <w:p>
      <w:r>
        <w:rPr>
          <w:b/>
        </w:rPr>
        <w:t xml:space="preserve">Quelle: </w:t>
      </w:r>
      <w:r>
        <w:t>https://mcp.opencaselaw.ch/entscheid/bvger_E-4781_2017</w:t>
      </w:r>
    </w:p>
    <w:p>
      <w:r>
        <w:t>FR: TAF E-4781/2017 du 17 août 2018</w:t>
      </w:r>
    </w:p>
    <w:p>
      <w:r>
        <w:t>IT: TAF E-4781/2017 del 17 agosto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bilden die verfügte Wegweisung und der Vollzug der Wegweisung. Die Ziffern 1 (Ablehnung des Asylgesuchs) und 2 (Verneinung der Flüchtlingseigenschaft) der Verfügung vom 27. Juli 2017 sind daher mangels Anfechtung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5.1</w:t>
      </w:r>
    </w:p>
    <w:p>
      <w:r>
        <w:t>Gemäss Art. 44 AsylG verfügt das Staatssekretariat in der Regel die Wegweisung aus der Schweiz und ordnet den Vollzug an, wenn es das Asylgesuch ablehnt oder darauf nicht eintritt.</w:t>
      </w:r>
    </w:p>
    <w:p>
      <w:r>
        <w:rPr>
          <w:b/>
        </w:rPr>
        <w:t>E. 5.2</w:t>
      </w:r>
    </w:p>
    <w:p>
      <w:r>
        <w:t>Die Beschwerdeführerin verfügt weder über eine ausländerrechtliche Aufenthaltsbewilligung noch über einen Anspruch auf Erteilung einer solchen (BVGE 2013/37 E. 4.4; 2009/50 E. 9, je m.w.H.). Die Wegweisung wurde demnach zu Recht angeordnet.</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In der Rechtsmitteleingabe führt die Beschwerdeführerin aus, der Wegweisungsvollzug sei angesichts der ihr in Eritrea drohenden Einziehung in den Nationaldienst unzulässig beziehungsweise unzumutbar. Sie macht insbesondere geltend, der vom SEM angeordnete Vollzug verletze ihre durch Art. 3 und 4 EMRK geschützten Menschenrechte.</w:t>
      </w:r>
    </w:p>
    <w:p>
      <w:r>
        <w:rPr>
          <w:b/>
        </w:rPr>
        <w:t>E. 7.2</w:t>
      </w:r>
    </w:p>
    <w:p>
      <w:r>
        <w:t>Aufgrund des Alters der Beschwerdeführerin - bei ihrer Ausreise aus Eritrea und im heutigen Zeitpunkt - erscheint ihre Befürchtung, bei einer Rückkehr in den Nationaldienst eingezogen zu werden, als plausibel (vgl. zur eritreischen Musterungspraxis auch das Referenzurteil D-2311/2016 vom 17. August 2017, E. 13.2-13.4).</w:t>
      </w:r>
    </w:p>
    <w:p>
      <w:r>
        <w:rPr>
          <w:b/>
        </w:rPr>
        <w:t>E. 8.1</w:t>
      </w:r>
    </w:p>
    <w:p>
      <w:r>
        <w:t>Das Bundesverwaltungsgericht hat sich mit dem Koordinationsentscheid E-5022/2017 vom 10. Juli 2018 (zur Publikation als Referenzurteil vorgesehen) mit den Fragen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8.2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Nachdem rechtskräftig festgestellt wurde, dass die Beschwerdeführerin die Flüchtlingseigenschaft nicht erfüllt, kann der in Art. 5 AsylG verankerte Grundsatz der Nichtrückschiebung im vorliegenden Verfahren keine Anwendung finden. Eine Rückkehr der Beschwerdeführerin in den Heimatstaat ist demnach unter dem Aspekt von Art. 5 AsylG rechtmässig.</w:t>
      </w:r>
    </w:p>
    <w:p>
      <w:r>
        <w:rPr>
          <w:b/>
        </w:rPr>
        <w:t>E. 9.3</w:t>
      </w:r>
    </w:p>
    <w:p>
      <w:r>
        <w:t>Nach dem oben Ausgeführten stehen - selbst wenn die Beschwerdeführerin bei ihrer Rückkehr nach Eritrea in den Nationaldienst eingezogen würde - einerseits das Verbot der Sklaverei und der Leibeigenschaft (Art. 4 Abs. 1 EMRK) dem Vollzug seiner Wegweisung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9.4</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 Soweit die Beschwerdeführerin vorbringt, der Vollzug der Wegweisung sei unzulässig, da sie Mitglied der Pfingstgemeinde sei, ist festzuhalten, dass die Vorinstanz die Mitgliedschaft der Beschwerdeführerin als nicht glaubhaft erachtete. Diesbezüglich kann auf die zutreffenden Erwägungen der Vorinstanz verwiesen werden und es erübrigt sich auf die weiteren Ausführungen in der Beschwerde einzugehen, da sie der Auffassung der Vor-instanz nichts Stichhaltiges entgegenhält.</w:t>
      </w:r>
    </w:p>
    <w:p>
      <w:r>
        <w:rPr>
          <w:b/>
        </w:rPr>
        <w:t>E. 9.5</w:t>
      </w:r>
    </w:p>
    <w:p>
      <w:r>
        <w:t>Der Vollzug der Wegweisung der Beschwerdeführerin erweist sich damit - sowohl im Sinn der asyl- als auch der völkerrechtlichen Bestimmungen -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10.2</w:t>
      </w:r>
    </w:p>
    <w:p>
      <w:r>
        <w:t>Wie oben dargelegt, vermag eine bevorstehende Einziehung in den eritreischen Nationaldienst allein nicht zur Annahme einer existenziellen Gefährdung zu führen.</w:t>
      </w:r>
    </w:p>
    <w:p>
      <w:r>
        <w:rPr>
          <w:b/>
        </w:rPr>
        <w:t>E. 10.3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Landesmüsse bei Vorliegen besonderer individueller Umstände aber nach wie vor von einer Existenzbedrohung ausgegangen werden. Die Frage der Zumutbarkeit bleibe daher im Einzelfall zu beurteilen (vgl. Referenzurteil D-2311/2016 E. 17.2).</w:t>
      </w:r>
    </w:p>
    <w:p>
      <w:r>
        <w:rPr>
          <w:b/>
        </w:rPr>
        <w:t>E. 10.4</w:t>
      </w:r>
    </w:p>
    <w:p>
      <w:r>
        <w:t>Bei der Beschwerdeführerin handelt es sich um eine junge Frau, die keine gesundheitlichen Beeinträchtigungen geltend gemacht hat. Besondere individuelle Umstände, aufgrund derer bei einer Rückkehr nach Eritrea, wo ihre Geschwister und weitere Verwandte leben, von einer existenziellen Bedrohung ausgegangen werden müsste, sind den Akten nicht zu entnehmen.</w:t>
      </w:r>
    </w:p>
    <w:p>
      <w:r>
        <w:rPr>
          <w:b/>
        </w:rPr>
        <w:t>E. 10.5</w:t>
      </w:r>
    </w:p>
    <w:p>
      <w:r>
        <w:t>Nach dem Gesagten erweist sich der Vollzug der Wegweisung auch als zumutbar.</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14.1</w:t>
      </w:r>
    </w:p>
    <w:p>
      <w:r>
        <w:t>Bei diesem Ausgang des Verfahrens wären die Kosten der Beschwerdeführerin aufzuerlegen (Art. 63 Abs. 1 VwVG). Der Antrag auf Gewährung der unentgeltlichen Prozessführung wurde jedoch mit Zwischenverfügung vom 11. September 2017 gutgeheissen.</w:t>
      </w:r>
    </w:p>
    <w:p>
      <w:r>
        <w:rPr>
          <w:b/>
        </w:rPr>
        <w:t>E. 14.2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Gewährung der unentgeltlichen Prozessführung ist deshalb nicht zu widerrufen, zumal den Akten auch keine Hinweise auf eine massgebende Veränderung der finanziellen Verhältnisse zu entnehmen sind. Es sind daher keine Verfahrenskosten zu erheben.</w:t>
      </w:r>
    </w:p>
    <w:p>
      <w:r>
        <w:rPr>
          <w:b/>
        </w:rPr>
        <w:t>E. 14.3</w:t>
      </w:r>
    </w:p>
    <w:p>
      <w:r>
        <w:t>Mit Zwischenverfügung vom 11. September 2017 wurde der Beschwerdeführerin die unentgeltliche Rechtsverbeiständung gewährt und MLaw Katarina Socha als amtliche Vertreterin eingesetzt. Die Rechtsvertreterin macht in der Rechtsmitteleingabe einen Aufwand von 5 Stunden zu einem Stundenansatz von Fr. 194.40 (inkl. MwSt.) und Auslagen in der Höhe von Fr. 54.- geltend. Der zeitliche Aufwand erscheint angemessen, wobei von einem Stundenansatz von Fr. 150.- auszugehen ist (vgl. Zwischenverfügung vom 11. September 2017). Nicht zu entschädigen ist die geltend gemachte einmalige Pauschale von Fr. 54.- für Auslagen, da vom Gericht nur effektiv ausgewiesene Kosten entschädigt werden. Das vom Bundesverwaltungsgericht zu entrichtende Honorar ist demzufolge auf Fr. 807.75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