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E-477/2017 vom 28. Juni 2018</w:t>
      </w:r>
    </w:p>
    <w:p>
      <w:r>
        <w:t>Bundesverwaltungsgericht, 2018-06-28, DE</w:t>
      </w:r>
    </w:p>
    <w:p>
      <w:r>
        <w:rPr>
          <w:b/>
        </w:rPr>
        <w:t xml:space="preserve">Quelle: </w:t>
      </w:r>
      <w:r>
        <w:t>https://mcp.opencaselaw.ch/entscheid/bvger_E-477_2017</w:t>
      </w:r>
    </w:p>
    <w:p>
      <w:r>
        <w:t>FR: TAF E-477/2017 du 28 juin 2018</w:t>
      </w:r>
    </w:p>
    <w:p>
      <w:r>
        <w:t>IT: TAF E-477/2017 del 28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5.1</w:t>
      </w:r>
    </w:p>
    <w:p>
      <w:r>
        <w:t>Die Vorinstanz lehnte das Asylgesuch ab, da die Vorbringen des Beschwerdeführers den Anforderungen an das Glaubhaftmachen gemäss Art. 7 AsylG nicht standhalten würden. Der Beschwerdeführer habe keine rechtsgenüglichen Dokumente eingereicht, welche seine Aussagen bezüglich seiner Identität, seiner Reisedaten sowie die tatsächliche Reiseroute bestätigen könnten. Die eingereichten Dokumente seien leicht käuflich zu erwerben und nicht fälschungssicher. Zwischen der behaupteten Desertion im Jahre 2011 und der Ausreise im Jahre 2015 würden vier Jahre liegen, womit der Kausalzusammenhang nicht gegeben und den weiteren Vorbringen die Grundlage entzogen sei. Gemäss seinen eigenen Angaben sei es nach 2012 zu keinen fluchtrelevanten Vorfällen mehr gekommen. Lediglich die Nachbarschaft und die nähere Familie seien zum Aufenthalt des Beschwerdeführers befragt worden. Dass der Beschwerdeführer seine Familie jeweils alle zwei Wochen aufgesucht und bis zu zehn Tagen mit ihnen verbracht habe, lasse sich nicht mit dem befürchteten Verfolgungsinteresse an seiner Person vereinbaren. Dazu passe, dass er seine (...) während Jahren selber auf dem Markt verkauft habe. Es sei ferner nicht nachvollziehbar, dass die Behörden die Ehefrau des Beschwerdeführers in einem Dorf mit rund 300 Familien nicht hätten finden können respektive lediglich die Nachbarn und Familienangehörigen befragt hätten, zumal seine Frau im Haus der Familie gewohnt habe. Weiter sei es wenig plausibel, dass es dem Beschwerdeführer gelungen sein soll, nach dem Angriff im Jahre 2012, welcher eine zweiwöchige Spitalbehandlung nach sich gezogen habe, zu flüchten. Dadurch würden sich erhebliche Zweifel am geltend gemachten Sachverhalt und somit an der Glaubwürdigkeit der Person des Beschwerdeführers ergeben. Diese würden dadurch bestärkt, dass seinen Schilderungen der persönliche Bezug weitgehend fehle und diese allgemein gehalten seien, was insbesondere die Beschreibung seines mehrjährigen Aufenthaltes in der Wildnis oder den Angriff im Jahre 2012 betreffe. Die Asylbegründung sei konstruiert und wenig plausibel. Auch der Schilderung der Ausreise fehle es an Tiefe und Erlebnisbasiertheit. Den Ausführungen sei nichts zu entnehmen, was auf eine entsprechende Planung und Vorbereitung hinweisen würde.</w:t>
      </w:r>
    </w:p>
    <w:p>
      <w:r>
        <w:rPr>
          <w:b/>
        </w:rPr>
        <w:t>E. 5.2.1</w:t>
      </w:r>
    </w:p>
    <w:p>
      <w:r>
        <w:t>Vorab macht der Beschwerdeführer in der Rechtsmitteleingabe geltend, die Begründung der Vorinstanz weise erhebliche Mängel auf und der zuständige Sachbearbeiter sei bei der Beurteilung des Falles ausgesprochen oberflächlich vorgegangen.</w:t>
      </w:r>
    </w:p>
    <w:p>
      <w:r>
        <w:rPr>
          <w:b/>
        </w:rPr>
        <w:t>E. 5.2.2</w:t>
      </w:r>
    </w:p>
    <w:p>
      <w:r>
        <w:t>Den Akten lassen sich keine Hinweise auf eine insgesamt unsorgfältige Arbeitsweise der Vorinstanz entnehmen. Soweit er vorbringt, die Vorinstanz habe einmal von zwei und ein anderes Mal von drei Kindern gesprochen, ist mit dem Beschwerdeführer festzustellen, dass es sich dabei um ein fallirrelevantes Detail handelt, aus welchem ihm offensichtlich kein Nachteil erwachsen ist. Dass die Vorinstanz sodann seine Antworten auf berechtigte Fragen der Hilfswerksvertretung in der angefochtenen Verfügung nicht berücksichtigt haben soll, kann nicht festgestellt werden und wird vom Beschwerdeführer auch nicht konkret dargelegt. Auf beide Einwände ist daher nicht weiter einzugehen.</w:t>
      </w:r>
    </w:p>
    <w:p>
      <w:r>
        <w:rPr>
          <w:b/>
        </w:rPr>
        <w:t>E. 5.2.3</w:t>
      </w:r>
    </w:p>
    <w:p>
      <w:r>
        <w:t>Unter Hinweis auf das Schreiben des UNHCR macht der Beschwerdeführer weiter geltend, er habe damit seine Identität belegt. Dem ist entgegenzuhalten, dass es sich bei diesem Schreiben nicht um ein Identitätspapier im Sinne von Art. 1a Bst. c der Asylverordnung 1 vom 11. August 1999 (AsylV 1, SR 142.311) handelt. Dem Dokument lässt sich nicht entnehmen, worauf sich die aufgeführten Angaben abstützen, mithin ob ein entsprechendes Identitätspapier vorlag, oder dies lediglich die Angaben des Beschwerdeführers gegenüber dem UNHCR sind. Einzig lässt sich daraus ableiten, dass der Beschwerdeführer zum geltend gemachten Zeitpunkt in E._______ aufgehalten hat, mithin insoweit seine diesbezüglichen Aussagen glaubhaft sind.</w:t>
      </w:r>
    </w:p>
    <w:p>
      <w:r>
        <w:rPr>
          <w:b/>
        </w:rPr>
        <w:t>E. 5.2.4</w:t>
      </w:r>
    </w:p>
    <w:p>
      <w:r>
        <w:t>Weiter hält der Beschwerdeführer in der Eingabe am Wahrheitsgehalt seiner Vorbringen fest. Damit rügt er sinngemäss, die Vorinstanz habe den Massstab des Glaubhaftmachens gemäss Art. 7 AsylG nicht richtig angewendet, mithin Bundesrecht verletzt. Die Vorinstanz zweifelt an der geltend gemachten Desertion. Dies weil sich der Beschwerdeführer im Zeitraum zwischen 2011 und 2015, obwohl angeblich wiederholt nach ihm gefragt und gesucht wurde, regelmässig bis zu zehn Tagen bei seiner Familie im Haus der Schwiegereltern aufgehalten und seine (...) auf dem Markt verkauft hat. Zu diesem zentralen Argument nimmt der Beschwerdeführer in der Rechtsmitteleingabe nicht Stellung. Bezüglich seines seitens der Vorinstanz in Frage gestellten Lebens im Untergrund und seiner Tätigkeit als (...) begnügt er sich sodann mit dem blossen Hinweis, er habe dazu anlässlich der Anhörung ausführliche Schilderungen gemacht. Im Zusammenhang mit dem behaupteten Angriff im Jahre 2012 führt der Beschwerdeführer weiter aus, es sei medizinisch sehr wohl möglich, dass ihm trotz schwerer erlittener Verletzungen die Flucht gelungen sei, zumal er unter Schock gestanden habe. Auch wenn festzuhalten ist, dass die Begründung der Vorinstanz in diesem Punkt kurz ausfällt, obliegt es schlussendlich dem Beschwerdeführer - insbesondere auch im Kontext des bereits Ausgeführten - den Vorfall in substantiierter Weise darzulegen, was er mit dem blossen Hinweis auf die medizinische Möglichkeit der Flucht nicht tut. Weitergehend legt er mit dem Festhalten, sein Handeln entspreche der Logik und er habe sämtliche Fragen detailliert und widerspruchsfrei beantwortet sowie seine Aussagen auf Nachfrage präzisieren können, nicht dar, inwiefern die Vorinstanz im Einzelnen zu Unrecht auf Unglaubhaftigkeit geschlossen hat. Solches ist auch nicht ersichtlich. Um Wiederholungen zu vermeiden, kann auf die Erwägungen in der angefochtenen Verfügung verwiesen werden. Insgesamt ergibt sich somit, dass der Beschwerdeführer nicht glaubhaft machen konnte, aus dem Militär desertiert zu sein.</w:t>
      </w:r>
    </w:p>
    <w:p>
      <w:r>
        <w:rPr>
          <w:b/>
        </w:rPr>
        <w:t>E. 5.3.1</w:t>
      </w:r>
    </w:p>
    <w:p>
      <w:r>
        <w:t>Weiter hält der Beschwerdeführer daran fest, er sei illegal aus Eritrea ausgereist und erfülle deshalb die Voraussetzungen zur Anerkennung als Flüchtling.</w:t>
      </w:r>
    </w:p>
    <w:p>
      <w:r>
        <w:rPr>
          <w:b/>
        </w:rPr>
        <w:t>E. 5.3.2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5.3.3</w:t>
      </w:r>
    </w:p>
    <w:p>
      <w:r>
        <w:t>In Abkehr von seiner früheren Praxis gelangte das Bundesverwaltungsgericht im Urteil D-7898/2015 vom 30. Januar 2017 (als Referenzurteil publiziert)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(vgl. a.a.O. E. 5.1).</w:t>
      </w:r>
    </w:p>
    <w:p>
      <w:r>
        <w:rPr>
          <w:b/>
        </w:rPr>
        <w:t>E. 5.3.4</w:t>
      </w:r>
    </w:p>
    <w:p>
      <w:r>
        <w:t>In Anbetracht der geänderten Rechtsprechung kann die Frage nach der Glaubhaftigkeit der vom Beschwerdeführer geltend gemachten illegalen Ausreise vorliegend offen bleiben. Wie vorstehend ausgeführt, können dem Beschwerdeführer die Angaben im Zusammenhang der Desertion nicht geglaubt werden. Andere Anknüpfungspunkte, welche ihn in den Augen des eritreischen Regimes als missliebige Person erscheinen lassen könnten, sind nicht ersichtlich und werden auch nicht geltend gemacht.</w:t>
      </w:r>
    </w:p>
    <w:p>
      <w:r>
        <w:rPr>
          <w:b/>
        </w:rPr>
        <w:t>E. 5.4</w:t>
      </w:r>
    </w:p>
    <w:p>
      <w:r>
        <w:t>Zusammenfassend ist es dem Beschwerdeführer nicht gelungen, eine relevante Verfolgungsgefahr darzutun, und die Vorinstanz hat die Flüchtlingseigenschaft des Beschwerdeführers zu Recht verneint und sein Asylgesuch abgewiesen.</w:t>
      </w:r>
    </w:p>
    <w:p>
      <w:r>
        <w:rPr>
          <w:b/>
        </w:rPr>
        <w:t>E. 6</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In Bezug auf seine Wegweisung macht der Beschwerdeführer - unter Verweis auf diverse Quellen - im Wesentlichen geltend, dass er im Falle einer Wegweisung mit harten Strafen seitens der heimatlichen Behörden zu rechnen hätte. Auch die Erlangung des sogenannten "Diaspora-Status" über das Konsulat würde ihn nicht mit Sicherheit vor Repressalien schützen. Das SEM habe bei der Beurteilung des persönlichen Risikos die geltenden COI-Standards nicht eingehalten.</w:t>
      </w:r>
    </w:p>
    <w:p>
      <w:r>
        <w:rPr>
          <w:b/>
        </w:rPr>
        <w:t>E. 7.3.1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hat in der angefochtenen Verfügung zutreffend darauf hingewiesen, dass das flüchtlingsrechtliche Gebot des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Nach der Praxis des Europäischen Gerichtshofs für Menschenrechte (EGMR) müsste der Beschwerdeführer eine konkrete Gefahr ("real risk") nachweisen oder glaubhaft machen, dass ihm im Falle einer Rückschiebung in seinen Heimatstaat Folter oder unmenschliche Behandlung drohen würde.</w:t>
      </w:r>
    </w:p>
    <w:p>
      <w:r>
        <w:rPr>
          <w:b/>
        </w:rPr>
        <w:t>E. 7.3.2</w:t>
      </w:r>
    </w:p>
    <w:p>
      <w:r>
        <w:t>Im Referenzurteil D-2311/2016 vom 17. August 2017 befasste sich das Bundesverwaltungsgericht eingehend mit der Frage, ob im Zusammenhang mit dem eritreischen Nationaldienst eine Verletzung von Art. 3 EMRK drohe. Dabei kam es zum Schluss, dass Personen, die erst nach 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jedoch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7.3.3</w:t>
      </w:r>
    </w:p>
    <w:p>
      <w:r>
        <w:t>Wie vorstehend dargelegt, vermochte der Beschwerdeführer seine geltend gemachten Fluchtgründe und somit auch seine Desertion nicht glaubhaft zu machen. Sodann war er bei der Ausreise aus Eritrea (...) Jahre alt. Vor diesem Hintergrund erscheint es als wahrscheinlich, dass er seine Dienstpflicht erfüllt hat und regulär aus dem Dienst entlassen wurde. Gemäss der aktualisierten Praxis des Bundesverwaltungsgerichts ist wie erwähnt davon auszugehen, dass eritreische Staatsangehörige, die ihre Dienstpflicht im Rahmen des Nationaldiensts erfüllt haben und danach aus Eritrea ausgereist sind, weder eine Strafe zu gewärtigen haben noch bei einer Rückkehr in ihren Heimatstaat erneut zum Nationaldienst eingezogen werden. Nachdem der Beschwerdeführer seine Vorbringen nicht glaubhaft machen konnte, lässt sich nicht mit absoluter Gewissheit feststellen, ob er tatsächlich in diese Kategorie fällt. Wie bereits die Vorinstanz zutreffend ausgeführt hat, findet die bei der Prüfung der Wegweisungshindernisse anwendbare Untersuchungsmaxime ihre Grenzen an der Wahrheits- und Mitwirkungspflicht des Beschwerdeführers. Da dieser somit die Folgen der aus seinen Vorbringen resultierenden Ungewissheit zu tragen hat, ist - unter Berücksichtigung des von ihm angegebenen Alters bei der Ausreise sowie mangels gegenteiliger Anhaltspunkte - davon auszugehen, dass er seine Dienstpflicht im Rahmen des eritreischen Nationaldienstes bereits erfüllt habe und erst danach aus Eritrea ausgereist sei. Weiter hält sich der Beschwerdeführer auch seit mehr als drei Jahren im Ausland auf und würde, sofern er seine Situation mit Eritrea regelt, die Voraussetzungen für den Erhalt des Diaspora-Status erfüllen. Es ist jedenfalls nicht mit überwiegender Wahrscheinlichkeit davon auszugehen, dass dem Beschwerdeführer bei einer Rückkehr in seinen Heimatstaat eine Einziehung in den Nationaldienst oder andere Gefahr droht (Urteil des BVGer D-7898/2015 vom 30. Januar 2017 E. 5.1; vgl. dazu auch die Urteile des BVGer D-4472/2017 vom 26. März 2018 E. 7.5; E-1740/2016 vom 9. Februar 2018 E. 8.2.2.3, D-1888/2017 vom 7. Dezember 2017 E. 7.3.3; D- 2784/2016 vom 30. November 2017 E. 5.2.3).</w:t>
      </w:r>
    </w:p>
    <w:p>
      <w:r>
        <w:rPr>
          <w:b/>
        </w:rPr>
        <w:t>E. 7.4</w:t>
      </w:r>
    </w:p>
    <w:p>
      <w:r>
        <w:t>Zusammenfassend ist der Vollzug der Wegweisung als zulässig zu qualifizieren. Aufgrund des Ausgeführten erübrigt sich die Prüfung der Frage der Vereinbarkeit eines zukünftigen Dienstes in der eritreischen Armee mit Art. 3 und Art. 4 EMRK.</w:t>
      </w:r>
    </w:p>
    <w:p>
      <w:r>
        <w:rPr>
          <w:b/>
        </w:rPr>
        <w:t>E. 7.5.1</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7.5.2</w:t>
      </w:r>
    </w:p>
    <w:p>
      <w:r>
        <w:t>Im bereits erwähnten Referenzurteil D-2311/2016 vom 17. August 2017 kam das Bundesverwaltungsgericht ferner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w:t>
      </w:r>
    </w:p>
    <w:p>
      <w:r>
        <w:rPr>
          <w:b/>
        </w:rPr>
        <w:t>E. 7.5.3</w:t>
      </w:r>
    </w:p>
    <w:p>
      <w:r>
        <w:t>Der Beschwerdeführer macht unter Verweis auf einen Bericht von Human Rights Watch geltend, die Situation in Eritrea sei nicht so stabil, wie von der Vorinstanz dargestellt werde. Gemäss Bericht sei es am 12. und 13. Juni 2016 nahe der äthiopischen Grenze in F._______ zu Gefechten gekommen. Es ist festzuhalten, dass sich das Heimatdorf des Beschwerdeführers nicht in unmittelbarer Nähe des erwähnten Konfliktgebietes befindet. Weiter vermögen vereinzelte Gefechte im vorliegenden Fall nichts an der Gesamtbeurteilung der Sicherheitslage in Eritrea zu ändern. Durch die beschriebene Auseinandersetzung scheint die Sicherheit des Beschwerdeführers jedenfalls nicht konkret gefährdet zu sein. Der Beschwerdeführer ist heute (...) Jahre alt und gemäss seinen Angaben gesund. Seine Ehefrau lebt mit den gemeinsamen Söhnen in einer (...). Zudem leben seine Eltern sowie mehrere Geschwister in seinem Heimatdorf (vgl. SEM-Akten A5/13 Ziff. 3.01 und A17/16 F 94). Damit verfügt er über ein bestehendes familiäres Beziehungsnetz. Es ist deshalb davon auszugehen, dass dem Beschwerdeführer mithilfe der familiären Unterstützung die soziale und wirtschaftliche Wiedereingliederung in die gesellschaftlichen Strukturen seiner Heimat gelingen wird. Damit sprechen keine individuellen Umstände gegen die Zumutbarkeit des Wegweisungsvollzugs.</w:t>
      </w:r>
    </w:p>
    <w:p>
      <w:r>
        <w:rPr>
          <w:b/>
        </w:rPr>
        <w:t>E. 7.6</w:t>
      </w:r>
    </w:p>
    <w:p>
      <w:r>
        <w:t>Mit Blick auf die Möglichkeit des Vollzugs der Wegweisung im Sinn von Art. 83 Abs. 2 AuG ist festzustellen,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die für eine Rückkehr notwendigen Reisedokumente zu beschaffen (Art. 8 Abs. 4 AsylG; vgl. auch BVGE 2008/34 E. 12). Der Vollzug der Wegweisung ist folglich auch als möglich zu bezeichnen (Art. 83 Abs. 2 AuG).</w:t>
      </w:r>
    </w:p>
    <w:p>
      <w:r>
        <w:rPr>
          <w:b/>
        </w:rPr>
        <w:t>E. 7.7</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Bei diesem Ausgang des Verfahrens wären die Kosten dem Beschwerdeführer aufzuerlegen (Art. 63 Abs. 1 VwVG). Indes wurde mit Zwischenverfügung vom 9. Februar 2017 das Gesuch um Gewährung der unentgeltlichen Prozessführung im Sinn von Art. 65 Abs. 1 VwVG gutgeheissen, weshalb keine 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