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E-4776/2023 vom 17. November 2023</w:t>
      </w:r>
    </w:p>
    <w:p>
      <w:r>
        <w:t>Bundesverwaltungsgericht, 2023-11-17, FR</w:t>
      </w:r>
    </w:p>
    <w:p>
      <w:r>
        <w:rPr>
          <w:b/>
        </w:rPr>
        <w:t xml:space="preserve">Quelle: </w:t>
      </w:r>
      <w:r>
        <w:t>https://mcp.opencaselaw.ch/entscheid/bvger_E-4776_2023</w:t>
      </w:r>
    </w:p>
    <w:p>
      <w:r>
        <w:t>FR: TAF E-4776/2023 du 17 novembre 2023</w:t>
      </w:r>
    </w:p>
    <w:p>
      <w:r>
        <w:t>IT: TAF E-4776/2023 del 17 novembre 2023</w:t>
      </w:r>
    </w:p>
    <w:p>
      <w:pPr>
        <w:pStyle w:val="Heading2"/>
      </w:pPr>
      <w:r>
        <w:t>Regeste</w:t>
      </w:r>
    </w:p>
    <w:p>
      <w:r>
        <w:t>Asile et renvoi</w:t>
      </w:r>
    </w:p>
    <w:p>
      <w:pPr>
        <w:pStyle w:val="Heading2"/>
      </w:pPr>
      <w:r>
        <w:t>Erwägungen</w:t>
      </w:r>
    </w:p>
    <w:p>
      <w:r>
        <w:rPr>
          <w:b/>
        </w:rPr>
        <w:t>E. 4</w:t>
      </w:r>
    </w:p>
    <w:p>
      <w:r>
        <w:t>mai 2023, Q 41 ss), que l’épisode du (…) octobre 2021 mis à part, son récit demeure particulièrement laconique sur les interpellations sans lendemain dont il aurait fait l’objet, de même que sur le contenu des discussions, respectivement interrogatoires violents, qu’il aurait eus avec des gendarmes (cf. pv. précité, Q61 à Q 70), qu’en outre, l’acharnement à son encontre durant une si longue période, de même que la répétition des incidents, alors même qu’il n’aurait, comme indiqué, jamais exercé d’activités politiques, ni eu d’accointances de près ou de loin avec le PKK, semblent superflus et, partant, sont sujets à caution, que si, comme il le soutient, les autorités turques l’avaient réellement soupçonné d’être un terroriste, voire d’entretenir des contacts avec un oncle, ayant combattu avec le PKK dans les années nonante et présumé toujours en vie malgré l’avis de décès publié en 1999 dans un journal, il n’aurait pas seulement fait l’objet des mesures décrites lors de ses auditions, mais lesdites autorités auraient à l’évidence usé de méthodes plus dissuasives, comme par exemple l’ouverture d’une procédure contre lui, qu’en particulier, il n’aurait pas été relâché après seulement quelques heures le jour de sa garde-à-vue du (…) octobre 2021 à la direction de police du district de G._______, ni n’aurait été employé, de 2020 jusqu’à son départ de Turquie, par un organisme d’importance stratégique (l’aéroport de C._______), que d’ailleurs, si son oncle avait à ce point intéressé les autorités, il n’est pas cohérent que les agents de police ne s’en fussent pas pris davantage aux membres de sa famille, plus à même de fournir des renseignements sur celui-ci, tel son père ou sa mère, qu’il s’ensuit que le recours doit être rejeté, en tant qu’il conteste le refus de la reconnaissance de la qualité de réfugié à l’intéressé et le rejet de sa demande d’asile, et la décision attaquée confirmée sur ces points,</w:t>
      </w:r>
    </w:p>
    <w:p>
      <w:r>
        <w:t>E-4776/2023 Page 10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au vu de ce qui précède,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cette mesure n’étant en l’occurrence contraire à aucun engagement de la Suisse relevant du droit international, qu'elle est également raisonnablement exigible (art. 83 al. 4 LEI), que, même si la situation sur le plan politique et des droits humains s'est certes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w:t>
      </w:r>
    </w:p>
    <w:p>
      <w:r>
        <w:t>E-4776/2023 Page 11 que si le recourant provient certes de la province de C._______, dans laquelle l’état d’urgence a été décrété par le président turc, le</w:t>
      </w:r>
    </w:p>
    <w:p>
      <w:r>
        <w:rPr>
          <w:b/>
        </w:rPr>
        <w:t>E. 7</w:t>
      </w:r>
    </w:p>
    <w:p>
      <w:r>
        <w:t>février 2023, à la suite des séismes de grande ampleur ayant frappé la Turquie et la Syrie, il n’en demeure pas moins qu’il dispose d’alternatives d’établissement sur d’autres parties du territoire turc, notamment à F._______ où il a décroché deux emplois distincts entre 2019 et 2020 grâce à l’aide de ses proches, qu’il est jeune, sans charge de famille et apte à travailler, qu’il dispose en outre d’un solide réseau familial et social, sur lequel il pourra compter à son retour, que pour le surplus, il peut être renvoyé à la motivation de la décision querellée, laquelle n’est pas expressément remise en cause dans le mémoire de recours, que l’exécution du renvoi est enfin possible (art. 83 al. 2 LEI ; cf. ATAF 2008/34 consid. 12 et jurisp. cit.), le recourant étant tenu de collaborer à l'obtention de documents de voyage lui permettant de retourner dans son pays d'origine (art. 8 al. 4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versée le 28 septembre 2023,</w:t>
      </w:r>
    </w:p>
    <w:p>
      <w:r>
        <w:t>(dispositif : page suivante)</w:t>
      </w:r>
    </w:p>
    <w:p>
      <w:r>
        <w:t>E-4776/2023 Page 12</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